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color w:val="000000"/>
        </w:rPr>
      </w:pPr>
      <w:r>
        <w:rPr>
          <w:b/>
          <w:color w:val="000000"/>
        </w:rPr>
        <w:t>СП 59.13330.2012 СВОД ПРАВИЛ ДОСТУПНОСТЬ ЗДАНИЙ И СООРУЖЕНИЙ ДЛЯ МАЛОМОБИЛЬНЫХ ГРУПП НАСЕЛЕНИЯ</w:t>
      </w:r>
    </w:p>
    <w:p>
      <w:pPr>
        <w:pStyle w:val="Normal"/>
        <w:spacing w:lineRule="auto" w:line="240" w:before="0" w:after="0"/>
        <w:jc w:val="both"/>
        <w:rPr>
          <w:color w:val="000000"/>
          <w:lang w:val="en-US"/>
        </w:rPr>
      </w:pPr>
      <w:r>
        <w:rPr>
          <w:color w:val="000000"/>
          <w:lang w:val="en-US"/>
        </w:rPr>
        <w:t>Accessibility of buildings and structures for persons with disabilities and persons with reduced mobility</w:t>
      </w:r>
    </w:p>
    <w:p>
      <w:pPr>
        <w:pStyle w:val="Normal"/>
        <w:spacing w:lineRule="auto" w:line="240" w:before="0" w:after="0"/>
        <w:jc w:val="both"/>
        <w:rPr>
          <w:color w:val="000000"/>
        </w:rPr>
      </w:pPr>
      <w:r>
        <w:rPr>
          <w:color w:val="000000"/>
        </w:rPr>
        <w:t>Актуализированная редакци</w:t>
      </w:r>
      <w:bookmarkStart w:id="0" w:name="_GoBack"/>
      <w:bookmarkEnd w:id="0"/>
      <w:r>
        <w:rPr>
          <w:color w:val="000000"/>
        </w:rPr>
        <w:t xml:space="preserve">я СНиП 35-01-2001 ОКС 91.160.01 </w:t>
      </w:r>
    </w:p>
    <w:p>
      <w:pPr>
        <w:pStyle w:val="Normal"/>
        <w:spacing w:lineRule="auto" w:line="240" w:before="0" w:after="0"/>
        <w:jc w:val="both"/>
        <w:rPr>
          <w:color w:val="000000"/>
        </w:rPr>
      </w:pPr>
      <w:r>
        <w:rPr>
          <w:color w:val="000000"/>
        </w:rPr>
        <w:t>Дата введения 2013-01-01</w:t>
      </w:r>
    </w:p>
    <w:p>
      <w:pPr>
        <w:pStyle w:val="Normal"/>
        <w:spacing w:lineRule="auto" w:line="240" w:before="0" w:after="0"/>
        <w:jc w:val="both"/>
        <w:rPr>
          <w:color w:val="000000"/>
        </w:rPr>
      </w:pPr>
      <w:r>
        <w:rPr>
          <w:color w:val="000000"/>
        </w:rPr>
        <w:t>Предисловие</w:t>
      </w:r>
    </w:p>
    <w:p>
      <w:pPr>
        <w:pStyle w:val="Normal"/>
        <w:spacing w:lineRule="auto" w:line="240" w:before="0" w:after="0"/>
        <w:jc w:val="both"/>
        <w:rPr>
          <w:color w:val="000000"/>
        </w:rPr>
      </w:pPr>
      <w:r>
        <w:rPr>
          <w:color w:val="000000"/>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 порядке разработки и утверждения сводов правил" от 19 ноября 2008 г. N 858.</w:t>
      </w:r>
    </w:p>
    <w:p>
      <w:pPr>
        <w:pStyle w:val="Normal"/>
        <w:spacing w:lineRule="auto" w:line="240" w:before="0" w:after="0"/>
        <w:jc w:val="both"/>
        <w:rPr>
          <w:b/>
          <w:b/>
          <w:bCs/>
          <w:color w:val="000000"/>
        </w:rPr>
      </w:pPr>
      <w:r>
        <w:rPr>
          <w:b/>
          <w:bCs/>
          <w:color w:val="000000"/>
        </w:rPr>
        <w:t>Сведения о своде правил</w:t>
      </w:r>
    </w:p>
    <w:p>
      <w:pPr>
        <w:pStyle w:val="Normal"/>
        <w:spacing w:lineRule="auto" w:line="240" w:before="0" w:after="0"/>
        <w:jc w:val="both"/>
        <w:rPr>
          <w:color w:val="000000"/>
        </w:rPr>
      </w:pPr>
      <w:r>
        <w:rPr>
          <w:color w:val="000000"/>
        </w:rPr>
        <w:t>1 ИСПОЛНИТЕЛИ - Автономная некоммерческая организация "Организационный комитет XXII Олимпийских зимних игр и XI Паралимпийских зимних игр 2014 г. в г.Сочи" (АНО "Оргкомитет "Сочи 2014""); Общероссийская физкультурно-спортивная общественная организация "Российская ассоциация спортивных сооружений" (ОФСОО "РАСС");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("Национальное объединение</w:t>
      </w:r>
    </w:p>
    <w:p>
      <w:pPr>
        <w:pStyle w:val="Normal"/>
        <w:spacing w:lineRule="auto" w:line="240" w:before="0" w:after="0"/>
        <w:jc w:val="both"/>
        <w:rPr>
          <w:color w:val="000000"/>
        </w:rPr>
      </w:pPr>
      <w:r>
        <w:rPr>
          <w:color w:val="000000"/>
        </w:rPr>
        <w:t>строителей"); Открытое акционерное общество "Центральный научно-исследовательский и проектно-экспериментальный институт промышленных зданий и сооружений" (ОАО "ЦНИИПромзданий"); Открытое акционерное общество "Институт общественных и жилых зданий, сооружений и комплексов" (ОАО "Институт общественных зданий"); Общество с ограниченной ответственностью "Институт спортивных сооружений" (ООО "ИСС")</w:t>
      </w:r>
    </w:p>
    <w:p>
      <w:pPr>
        <w:pStyle w:val="Normal"/>
        <w:spacing w:lineRule="auto" w:line="240" w:before="0" w:after="0"/>
        <w:jc w:val="both"/>
        <w:rPr>
          <w:color w:val="000000"/>
        </w:rPr>
      </w:pPr>
      <w:r>
        <w:rPr>
          <w:color w:val="000000"/>
        </w:rPr>
        <w:t>2 ВНЕСЕН Техническим комитетом по стандартизации ТК 465 "Строительство"</w:t>
      </w:r>
    </w:p>
    <w:p>
      <w:pPr>
        <w:pStyle w:val="Normal"/>
        <w:spacing w:lineRule="auto" w:line="240" w:before="0" w:after="0"/>
        <w:jc w:val="both"/>
        <w:rPr>
          <w:color w:val="000000"/>
        </w:rPr>
      </w:pPr>
      <w:r>
        <w:rPr>
          <w:color w:val="000000"/>
        </w:rPr>
        <w:t>3 ПОДГОТОВЛЕН к утверждению Департаментом архитектуры, строительства и</w:t>
      </w:r>
    </w:p>
    <w:p>
      <w:pPr>
        <w:pStyle w:val="Normal"/>
        <w:spacing w:lineRule="auto" w:line="240" w:before="0" w:after="0"/>
        <w:jc w:val="both"/>
        <w:rPr>
          <w:color w:val="000000"/>
        </w:rPr>
      </w:pPr>
      <w:r>
        <w:rPr>
          <w:color w:val="000000"/>
        </w:rPr>
        <w:t>градостроительной политики</w:t>
      </w:r>
    </w:p>
    <w:p>
      <w:pPr>
        <w:pStyle w:val="Normal"/>
        <w:spacing w:lineRule="auto" w:line="240" w:before="0" w:after="0"/>
        <w:jc w:val="both"/>
        <w:rPr>
          <w:color w:val="000000"/>
        </w:rPr>
      </w:pPr>
      <w:r>
        <w:rPr>
          <w:color w:val="000000"/>
        </w:rPr>
        <w:t>4 УТВЕРЖДЕН приказом Министерства регионального развития Российской Федерации (Минрегион России) от 27 декабря 2011 г. N 605 и введен в действие с 01 января 2013 г.</w:t>
      </w:r>
    </w:p>
    <w:p>
      <w:pPr>
        <w:pStyle w:val="Normal"/>
        <w:spacing w:lineRule="auto" w:line="240" w:before="0" w:after="0"/>
        <w:jc w:val="both"/>
        <w:rPr>
          <w:color w:val="000000"/>
        </w:rPr>
      </w:pPr>
      <w:r>
        <w:rPr>
          <w:color w:val="000000"/>
        </w:rPr>
        <w:t>5 ЗАРЕГИСТРИРОВАН Федеральным агентством по техническому регулированию и метрологии (Росстандарт). Пересмотр СП 59.13330.2010 "СНиП 35-01-2001 Доступность зданий и сооружений для маломобильных групп населения"</w:t>
      </w:r>
    </w:p>
    <w:p>
      <w:pPr>
        <w:pStyle w:val="Normal"/>
        <w:spacing w:lineRule="auto" w:line="240" w:before="0" w:after="0"/>
        <w:jc w:val="both"/>
        <w:rPr>
          <w:i/>
          <w:i/>
          <w:iCs/>
          <w:color w:val="000000"/>
        </w:rPr>
      </w:pPr>
      <w:r>
        <w:rPr>
          <w:i/>
          <w:iCs/>
          <w:color w:val="000000"/>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случав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w:t>
      </w:r>
    </w:p>
    <w:p>
      <w:pPr>
        <w:pStyle w:val="Normal"/>
        <w:spacing w:lineRule="auto" w:line="240" w:before="0" w:after="0"/>
        <w:jc w:val="both"/>
        <w:rPr>
          <w:i/>
          <w:i/>
          <w:iCs/>
          <w:color w:val="000000"/>
        </w:rPr>
      </w:pPr>
      <w:r>
        <w:rPr>
          <w:i/>
          <w:iCs/>
          <w:color w:val="000000"/>
        </w:rPr>
        <w:t>информационной системе общего пользования - на официальном сайте разработчика (Минрегион России) в сети Интернет.</w:t>
      </w:r>
    </w:p>
    <w:p>
      <w:pPr>
        <w:pStyle w:val="Normal"/>
        <w:spacing w:lineRule="auto" w:line="240" w:before="0" w:after="0"/>
        <w:jc w:val="both"/>
        <w:rPr>
          <w:color w:val="000000"/>
        </w:rPr>
      </w:pPr>
      <w:r>
        <w:rPr>
          <w:color w:val="000000"/>
        </w:rPr>
        <w:t>ВНЕСЕНА поправка (рассылка ФАУ "ФЦС", 2012) Поправка внесена изготовителем базы данных Введение</w:t>
      </w:r>
    </w:p>
    <w:p>
      <w:pPr>
        <w:pStyle w:val="Normal"/>
        <w:spacing w:lineRule="auto" w:line="240" w:before="0" w:after="0"/>
        <w:jc w:val="both"/>
        <w:rPr>
          <w:color w:val="000000"/>
        </w:rPr>
      </w:pPr>
      <w:r>
        <w:rPr>
          <w:color w:val="000000"/>
        </w:rPr>
        <w:t>Актуализация СНиП 35-01-2001 в формате свода правил проведена в рамках выполнения части 5 статьи 42 Федерального закона от 30.12.2009 г. N 384-ФЗ "Технический регламент "О безопасности зданий и сооружений", а также п.2 Плана мероприятий по созданию безбарьерной среды для целей проведения XXII Олимпийских зимних игр и XI Паралимпийских зимних игр 2014 г. в г.Сочи.</w:t>
      </w:r>
    </w:p>
    <w:p>
      <w:pPr>
        <w:pStyle w:val="Normal"/>
        <w:spacing w:lineRule="auto" w:line="240" w:before="0" w:after="0"/>
        <w:jc w:val="both"/>
        <w:rPr>
          <w:color w:val="000000"/>
        </w:rPr>
      </w:pPr>
      <w:r>
        <w:rPr>
          <w:color w:val="000000"/>
        </w:rPr>
        <w:t>Свод правил разработан в соответствии с принципами Конвенции ООН о правах инвалидов, подписанной Российской Федерацией в сентябре 2008 г. Среди этих принципов: полное и эффективное вовлечение инвалидов в общество, равенство возможностей и доступность.</w:t>
      </w:r>
    </w:p>
    <w:p>
      <w:pPr>
        <w:pStyle w:val="Normal"/>
        <w:spacing w:lineRule="auto" w:line="240" w:before="0" w:after="0"/>
        <w:jc w:val="both"/>
        <w:rPr>
          <w:color w:val="000000"/>
        </w:rPr>
      </w:pPr>
      <w:r>
        <w:rPr>
          <w:color w:val="000000"/>
        </w:rPr>
        <w:t>Впервые в российский нормативный документ введен новый прогрессивный принцип</w:t>
      </w:r>
    </w:p>
    <w:p>
      <w:pPr>
        <w:pStyle w:val="Normal"/>
        <w:spacing w:lineRule="auto" w:line="240" w:before="0" w:after="0"/>
        <w:jc w:val="both"/>
        <w:rPr>
          <w:color w:val="000000"/>
        </w:rPr>
      </w:pPr>
      <w:r>
        <w:rPr>
          <w:color w:val="000000"/>
        </w:rPr>
        <w:t>"универсальный проект (дизайн)", который заявлен в Конвенции, как обязательный. Применение</w:t>
      </w:r>
    </w:p>
    <w:p>
      <w:pPr>
        <w:pStyle w:val="Normal"/>
        <w:spacing w:lineRule="auto" w:line="240" w:before="0" w:after="0"/>
        <w:rPr>
          <w:color w:val="000000"/>
        </w:rPr>
      </w:pPr>
      <w:r>
        <w:rPr>
          <w:color w:val="000000"/>
        </w:rPr>
        <w:t>принципов Конвенции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pPr>
        <w:pStyle w:val="Normal"/>
        <w:spacing w:lineRule="auto" w:line="240" w:before="0" w:after="0"/>
        <w:rPr>
          <w:color w:val="000000"/>
        </w:rPr>
      </w:pPr>
      <w:r>
        <w:rPr>
          <w:color w:val="000000"/>
        </w:rPr>
        <w:t>Свод правил разработан с учетом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настоящем нормативном документе реализованы требования Федерального закона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29.12.2004 г. N 190-ФЗ "Градостроительный кодекс Российской Федерации", Федерального закона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 24.11.1995 г. N 181-ФЗ "О социальной защите инвалидов в РФ", Федерального закона от 27.12.2002 г. N 184-ФЗ "О техническом регулировании", Федерального закона от 30.03.1999 г. N 52-ФЗ "О санитарно-эпидемиологическом благополучии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Актуализация выполнена авторским коллективом: "Национальное объединение строителей" (руководитель темы - канд. экон. наук С.В.Пугачев); ОФСОО "РАСС" (зам. руководителя темы - д-р психол. наук В.Б.Мяконьков, технический директор Л.Б.Гутман, ведущий специалист И.П.Камчаткин); ОАО "Институт общественных зданий" (зам. руководителя темы по научной работе, общая редакция - канд. архитектуры A.M.Гарнец); ООО "ПожМонтажГрупп" (инженер А.В.Апаков); Департамент социальной защиты населения г.Москвы (специалист А.В.Варсанофьев);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ГУП "МНИИТЭП" (нач. электроотдела А.В.Кузилин); ФГОУ ВПО Госуниверситет по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землеустройству (д-р архитектуры М.Ю.Лимонад); ОАО "МосОтис" (инженер С.М.Ройтбурд);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Минрегион России (канд. экон. наук, нач. отдела технического регулирования и нормирования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строительной отрасли Департамента архитектуры, строительства и градостроительной политики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К.А.Жиляев); ОАО "ЦНИИПромзданий" (канд. архитектуры Д.К.Лейкина); ООО "ИСС" (ведущий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научный сотрудник Э.Н.Асылгараева); АНО "Оргкомитет "Сочи 2014" (директор функционального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подразделения по подготовке олимпийских объектов и инфраструктуры С.А.Красноперов, старший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менеджер по подготовке Олимпийских объектов Д.Б.Шишонков), при участии Всероссийского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общества инвалидов (зам. председателя О.В.Рысев).</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1 Область применения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1.1 Настоящий свод правил предназначается для разработки проектных решений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1.4 Требования нормативного документа не распространяются на проектирование жилых одноквартирных домов.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1.5 Проектные решения, предназначенные для МГН, должны обеспечивать повышенное качество среды обитания при соблюдении: досягаемости ими кратчайшим путем мест целевого посещения и беспрепятственности перемещения внутри зданий и сооружений и на их территории; безопасности путей движения (в том числе эвакуационных и путей спасения), а также мест проживания, обслуживания и приложения труда МГН; эвакуации людей из здания или в безопасную зону до возможного нанесения вреда их жизни и здоровью вследствие воздействия опасных факторов;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 удобства и комфорта среды жизнедеятельности для всех групп населения.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jc w:val="both"/>
        <w:rPr>
          <w:rFonts w:ascii="Arial-BoldMT" w:hAnsi="Arial-BoldMT" w:cs="Arial-BoldMT"/>
          <w:b/>
          <w:b/>
          <w:bCs/>
          <w:color w:val="000000"/>
          <w:sz w:val="37"/>
          <w:szCs w:val="37"/>
        </w:rPr>
      </w:pPr>
      <w:r>
        <w:rPr>
          <w:rFonts w:cs="Arial-BoldMT" w:ascii="Arial-BoldMT" w:hAnsi="Arial-BoldMT"/>
          <w:b/>
          <w:bCs/>
          <w:color w:val="000000"/>
          <w:sz w:val="37"/>
          <w:szCs w:val="37"/>
        </w:rPr>
        <w:t>2 Нормативные ссылки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Нормативные документы, на которые в тексте настоящего свода правил имеются ссылки, приведены в приложении 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pPr>
        <w:pStyle w:val="Normal"/>
        <w:spacing w:lineRule="auto" w:line="240" w:before="0" w:after="0"/>
        <w:jc w:val="both"/>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jc w:val="both"/>
        <w:rPr>
          <w:rFonts w:ascii="Arial-BoldMT" w:hAnsi="Arial-BoldMT" w:cs="Arial-BoldMT"/>
          <w:b/>
          <w:b/>
          <w:bCs/>
          <w:color w:val="000000"/>
          <w:sz w:val="37"/>
          <w:szCs w:val="37"/>
        </w:rPr>
      </w:pPr>
      <w:r>
        <w:rPr>
          <w:rFonts w:cs="Arial-BoldMT" w:ascii="Arial-BoldMT" w:hAnsi="Arial-BoldMT"/>
          <w:b/>
          <w:bCs/>
          <w:color w:val="000000"/>
          <w:sz w:val="37"/>
          <w:szCs w:val="37"/>
        </w:rPr>
        <w:t>3 Термины и определения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Используемые в тексте термины и их определения приведены в приложении Б.</w:t>
      </w:r>
    </w:p>
    <w:p>
      <w:pPr>
        <w:pStyle w:val="Normal"/>
        <w:spacing w:lineRule="auto" w:line="240" w:before="0" w:after="0"/>
        <w:jc w:val="both"/>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jc w:val="both"/>
        <w:rPr>
          <w:rFonts w:ascii="Arial-BoldMT" w:hAnsi="Arial-BoldMT" w:cs="Arial-BoldMT"/>
          <w:b/>
          <w:b/>
          <w:bCs/>
          <w:color w:val="000000"/>
          <w:sz w:val="37"/>
          <w:szCs w:val="37"/>
        </w:rPr>
      </w:pPr>
      <w:r>
        <w:rPr>
          <w:rFonts w:cs="Arial-BoldMT" w:ascii="Arial-BoldMT" w:hAnsi="Arial-BoldMT"/>
          <w:b/>
          <w:bCs/>
          <w:color w:val="000000"/>
          <w:sz w:val="37"/>
          <w:szCs w:val="37"/>
        </w:rPr>
        <w:t>4 Требования к земельным участкам</w:t>
      </w:r>
    </w:p>
    <w:p>
      <w:pPr>
        <w:pStyle w:val="Normal"/>
        <w:spacing w:lineRule="auto" w:line="240" w:before="0" w:after="0"/>
        <w:jc w:val="both"/>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jc w:val="both"/>
        <w:rPr>
          <w:rFonts w:ascii="Arial-BoldMT" w:hAnsi="Arial-BoldMT" w:cs="Arial-BoldMT"/>
          <w:b/>
          <w:b/>
          <w:bCs/>
          <w:color w:val="000000"/>
          <w:sz w:val="29"/>
          <w:szCs w:val="29"/>
        </w:rPr>
      </w:pPr>
      <w:r>
        <w:rPr>
          <w:rFonts w:cs="Arial-BoldMT" w:ascii="Arial-BoldMT" w:hAnsi="Arial-BoldMT"/>
          <w:b/>
          <w:bCs/>
          <w:color w:val="000000"/>
          <w:sz w:val="29"/>
          <w:szCs w:val="29"/>
        </w:rPr>
        <w:t>4.1 Входы и пути движения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 Вход на участок следует оборудовать доступными для МГН, в том числе инвалидов-колясочников, элементами информации об объекте.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Система средств информационной поддержки должна быть обеспечена на всех путях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движения, доступных для МГН на все время (в течение суток) эксплуатации учреждения или предприятия в соответствии с ГОСТ Р 51256 и ГОСТ Р 52875.</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 По обеим сторонам перехода через проезжую часть должны быть установлены бордюрные пандусы.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Ширина пешеходного пути через островок безопасности в местах перехода через проезжую часть должна быть не менее 3 м, длина - не менее 2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через каждые 25 м горизонтальные площадки (карманы) размером не менее 2,0 1,8 м для обеспечения возможности разъезда инвалидов на креслах-колясках.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Продольный уклон путей движения, по которому возможен проезд инвалидов на креслах-колясках, не должен превышать 5%, поперечный - 2%.</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Примечание - Все параметры ширины и высоты коммуникационных путей здесь и в других пунктах приводятся в чистоте (в свету).</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высот в местах съезда на проезжую часть не должен превышать 0,015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4.1.9 Высоту бордюров по краям пешеходных путей на территории рекомендуется принимать не менее 0,05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4.1.10 Тактильные средства, выполняющие предупредительную функцию на покрытии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Ширина тактильной полосы принимается в пределах 0,5-0,6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4.1.11 Покрытие пешеходных дорожек, тротуаров и пандусов должно быть из твердых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Покрытие из бетонных плит должно иметь толщину швов между плитами не более 0,015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Покрытие из рыхлых материалов, в том числе песка и гравия, не допускается.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Поперечный уклон ступеней должен быть не более 2%.</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Поверхность ступеней должна иметь антискользящее покрытие и быть шероховатой.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Не следует применять на путях движения МГН ступеней с открытыми подступенками.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Расстояние между поручнями лестницы в чистоте должно быть не менее 1,0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Краевые ступени лестничных маршей должны быть выделены цветом или фактурой.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Перед открытой лестницей за 0,8-0,9 м следует предусматривать предупредительные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тактильные полосы шириной 0,3-0,5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4.1.13 В тех местах, где высота свободного пространства от поверхности земли до</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выступающих снизу конструкций лестниц менее 2,1 м, следует предусматривать ограждение или озеленение (кусты).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4.1.14 Лестницы должны дублироваться пандусами или подъемными устройствами.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Наружные лестницы и пандусы должны быть оборудованы поручнями. Длина марша пандуса не должна превышать 9,0 м, а уклон не круче 1:20.</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Ширина между поручнями пандуса должна быть в пределах 0,9-1,0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Пандус с расчетной длиной 36,0 м и более или высотой более 3,0 м следует заменять</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подъемными устройствами.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 1,5</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м, а в зонах интенсивного использования не менее 2,1 2,1 м. Свободные зоны должны быть также предусмотрены при каждом изменении направления пандуса.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 местах изменения уклонов необходимо устанавливать искусственное освещение не менее 100 лк на уровне пола.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Необходимость устройства подогрева поверхности пандуса, площадок под навесом, укрытием устанавливается заданием на проектирование.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4.1.17 Ребра дренажных решеток, устанавливаемых на путях движения МГН, должны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располагаться перпендикулярно направлению движения и вплотную прилегать к поверхности.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Просветы ячеек решеток должны быть не более 0,013 м шириной. Диаметр круглых отверстий в решетках не должен превышать 0,018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Дренажные решетки следует размещать вне зоны движения пешеходов.</w:t>
      </w:r>
    </w:p>
    <w:p>
      <w:pPr>
        <w:pStyle w:val="Normal"/>
        <w:spacing w:lineRule="auto" w:line="240" w:before="0" w:after="0"/>
        <w:jc w:val="both"/>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jc w:val="both"/>
        <w:rPr>
          <w:rFonts w:ascii="Arial-BoldMT" w:hAnsi="Arial-BoldMT" w:cs="Arial-BoldMT"/>
          <w:b/>
          <w:b/>
          <w:bCs/>
          <w:color w:val="000000"/>
          <w:sz w:val="29"/>
          <w:szCs w:val="29"/>
        </w:rPr>
      </w:pPr>
      <w:r>
        <w:rPr>
          <w:rFonts w:cs="Arial-BoldMT" w:ascii="Arial-BoldMT" w:hAnsi="Arial-BoldMT"/>
          <w:b/>
          <w:bCs/>
          <w:color w:val="000000"/>
          <w:sz w:val="29"/>
          <w:szCs w:val="29"/>
        </w:rPr>
        <w:t>4.2 Автостоянки для инвалидов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том числе 5% специализированных мест для автотранспорта инвалидов на кресле-коляске из</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расчета, при числе мест: до 100 включительно 5%, но не менее одного места;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от 101 до 200 5 мест и дополнительно 3%;</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от 201 до 1000 8 мест и дополнительно 2%;</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1001 место и более 24 места плюс не менее 1% на каждые 100 мест свыше.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Выделяемые места должны обозначаться знаками, принятыми ГОСТ Р 52289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______________</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 Вероятно ошибка оригинала. Следует читать: ГОСТ Р 12.4.026. - Примечание изготовителя базы данных.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Площадки для остановки специализированных средств общественного транспорта,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перевозящих только инвалидов (социальное такси), следует предусматривать на расстоянии не далее 100 м от входов в общественные здания.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4.2.3 Специальные парковочные места вдоль транспортных коммуникаций разрешается предусматривать при уклоне дороги менее 1:50.</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4.2.4 Разметку места для стоянки автомашины инвалида на кресле-коляске следует</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предусматривать размером 6,0 3,6 м, что дает возможность создать безопасную зону сбоку и сзади машины - 1,2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4.2.5 Места для автомашин инвалидов на креслах-колясках в многоуровневых автостоянках рекомендуется размещать у выхода на первом этаже или около лифтов.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Высота свободного пространства от плоскости (пола) автостоянки до низа перекрывающих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конструкций и другие конструктивные размеры следует принимать по СП 113.13330*.</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________________</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 Документ, упомянутый здесь и далее по тексту, временно не приводится. За дополнительной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информацией обратитесь по ссылке. - Примечание изготовителя базы данных.</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должны быть выделены специальными знаками.</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4.3 Благоустройство и места отдыха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4.3.1 На территории на основных путях движения людей рекомендуется предусматривать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чем через 100-150 м места отдыха, доступные для МГН, оборудованные навесами,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скамьями, телефонами-автоматами, указателями, светильниками, сигнализацией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Места отдыха должны выполнять функции архитектурных акцентов, входящих в общую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информационную систему объекта.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4.3.2 Скамейки для инвалидов, в том числе слепых, устанавливаются на обочинах проходов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обозначаются с помощью изменения фактуры наземного покрытия.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случае примыкания места отдыха к пешеходным путям, расположенным на другом уровне,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обеспечить плавный переход между этими поверхностями.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местах отдыха следует применять скамьи разной высоты от 0,38 до 0,58 м с опорой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спины. Сиденья должны иметь не менее одного подлокотника. Минимальное свободное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пространство для ног под сиденьем должно быть не менее 1/3 глубины сиденья.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4.3.3 Минимальный уровень освещенности в местах отдыха следует принимать 20 лк.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Светильники, устанавливаемые на площадках отдыха, должны быть расположены ниже уровня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глаз сидящего.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4.3.4 Устройства и оборудование (почтовые ящики, укрытия таксофонов, информационные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щиты и т.п.), размещаемые на стенах зданий, сооружений или на отдельных конструкциях,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выступающие элементы и части зданий и сооружений не должны сокращать нормируемое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пространство для прохода, а также проезда и маневрирования кресла-коляски.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Объекты, лицевой край поверхности которых расположен на высоте от 0,7 до 2,1 м от уровня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пешеходного пути, не должны выступать за плоскость вертикальной конструкции более чем на 0,1</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а при их размещении на отдельно стоящей опоре - более 0,3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увеличении размеров выступающих элементов пространство под этими объектами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необходимо выделять бордюрным камнем, бортиком высотой не менее 0,05 м либо ограждениями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высотой не менее 0,7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Вокруг отдельно стоящих опор, стоек или деревьев, расположенных на пути движения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предупредительное мощение в форме квадрата или круга на расстоянии 0,5 м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объекта.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4.3.5 Таксофоны и другое специализированное оборудование для людей с недостатками зрения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должны устанавливаться на горизонтальной плоскости с применением тактильных наземных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указателей или на отдельных плитах высотой до 0,04 м, край которых должен находиться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установленного оборудования на расстоянии 0,7-0,8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Формы и края подвесного оборудования должны быть скруглены.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4.3.6 Временные сооружения, столбы наружного освещения и указателей, газетные и торговые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киоски, и т.д. должны располагаться за пределами полосы движения и иметь контрастный цвет.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4.3.7 В исключительных случаях при реконструкции могут применяться передвижные пандусы.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поверхности передвижных пандусов должна быть не менее 1,0 м, уклоны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приближены к значениям стационарных пандусов.</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5 Требования к помещениям и их элементам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5.1 Входы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5.1.2 Наружные лестницы и пандусы должны иметь поручни с учетом технических требований к опорным стационарным устройствам по ГОСТ Р 51261. При ширине лестниц на основных входах в здание 4,0 м и более следует дополнительно предусматривать разделительные поручни.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Наружные двери, доступные для МГН, могут иметь пороги. При этом высота каждого элемента порога не должна превышать 0,014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двухстворчатых дверях одна рабочая створка должна иметь ширину, требуемую для однопольных дверей.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Дверные наличники или края дверного полотна и ручки рекомендуется окрашивать в отличные от дверного полотна контрастные цвета.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5.1.6 Входные двери, доступные для входа инвалидов, следует проектировать</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распашныхили раздвижных дверей (если они не стоят на путях эвакуации).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5.1.7 Глубина тамбуров и тамбур-шлюзов при прямом движении и одностороннем открывании дверей должна быть не менее 2,3 при ширине не менее 1,50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последовательном расположении навесных или поворотных дверей необходимо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Свободное пространство у двери со стороны защелки должно быть: при открывании "от себя" не менее 0,3 м, а при открывании "к себе" - не менее 0,6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глубине тамбура менее 1,8 м до 1,5 м (при реконструкции) его ширина должна быть не менее 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тамбурах, лестничных клетках и у эвакуационных выходов не допускается применять зеркальные стены (поверхности), а в дверях - зеркальные стекла.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5.1.9 Помещения, где могут находиться инвалиды на креслах-колясках или с недостатками зрения, следует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5.2 Пути движения в зданиях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Горизонтальные коммуникации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пути движения (в коридорах, галереях и т.п.) должна быть не менее: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движении кресла-коляски в одном направлении 1,5 м; при встречном движении 1,8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Ширину перехода в другое здание следует принимать - не менее 2,0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движении по коридору инвалиду на кресле-коляске следует обеспечить минимальное пространство для:поворота на 90° - равное 1,2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разворота на 180° - равное диаметру 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тупиковых коридорах необходимо обеспечить возможность разворота кресла-коляски на 180°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Высота коридоров по всей их длине и ширине должна составлять в свету не менее 2,1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Ширину прохода в помещении с оборудованием и мебелью следует принимать не менее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 Рекомендуется предусматривать световые маячки.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Двери на путях эвакуации должны иметь окраску, контрастную со стеной.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Дверные проемы в помещения, как правило, не должны иметь порогов и перепадов высот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необходимости устройства порогов их высота или перепад высот не должен превышать 0,014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5.2.5 На путях движения МГН в здании следует предусматривать смежные с ними места отдыха и ожидания. В местах отдыха или ожидания следует предусматривать не менее одного места для инвалида на кресле-коляске или пользующегося костылями (тростью), а также его сопровождающего.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 маршем открытой лестницы и другими нависающими элементами внутри здания,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имеющими размер в свету по высоте менее 1,9 м, следует устанавливать барьеры, ограждения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5.2.8 В помещениях, доступных инвалидам, не разрешается применять ворсовые ковры с высотой ворса более 0,013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Ковровые покрытия на путях движения должны быть плотно закреплены, особенно на стыках полотен и по границе разнородных покрытий.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Вертикальные коммуникации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Лестницы и пандусы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5.2.9 При перепаде высот пола в здании или сооружении следует предусматривать лестницы, пандусы или подъемные устройства, доступные для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местах перепада уровней пола в помещении для защиты от падения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ограждения высотой в пределах 1-1,2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Ступени лестниц должны быть с подступенком. Применение открытых ступеней (без</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подступенка) не допускается.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5.2.10 При отсутствии лифтов ширина марша лестницы должна быть не менее 1,35 м. В остальных случаях ширину марша следует принимать по СП 54.13330 и СП 118.13330.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5.2.11 При расчетной ширине марша лестницы 4,0 м и более следует предусматривать дополнительные разделительные поручни.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5.2.12 Следует применять различный по цвету материал ступеней лестниц и горизонтальных площадок перед ними.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Тактильные напольные указатели перед лестницами следует выполнять по ГОСТ Р 52875.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временных сооружениях или объектах временной инфраструктуры допускается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Пандусы при перепаде высот более 3,0 м следует заменять лифтами, подъемными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платформами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исключительных случаях допускается предусматривать винтовые пандусы. Ширина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винтового пандуса при полном повороте должна быть не менее 2,0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Через каждые 8,0-9,0 м длины марша пандуса должна быть устроена горизонтальная площадка.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Горизонтальные площадки должны быть устроены также при каждом изменении направления пандуса.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Пандусы в своей верхней и нижней частях должны иметь горизонтальные площадки размером не менее 1,5 1,5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Ширину марша пандуса следует принимать по ширине полосы движения согласно 5.2.1. Поручни в этом случае принимать по ширине пандуса.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Инвентарные пандусы должны быть рассчитаны на нагрузку не менее 350 кг/м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удовлетворять требованиям к стационарным пандусам по ширине и уклону.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 марша пандуса должна визуально контрастировать с горизонтальной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поверхностью в начале и конце пандуса. Допускается для выявления граничащих поверхностей применение световых маячков или световых лент.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Тактильные напольные указатели перед пандусами следует выполнять по ГОСТ Р 52875.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5.2.15 Вдоль обеих сторон всех пандусов и лестниц, а также у всех перепадов высот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Поручень перил с внутренней стороны лестницы должен быть непрерывным по всей ее высоте. Расстояние между поручнями пандуса принимать в пределах от 0,9 до 1,0 м. 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обокончании перил.</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Лифты, подъемные платформы и эскалаторы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5.2.18 Следует применять лифты, предназначенные для пользования инвалидом на кресле-коляске с сопровождающим. Их кабины должны иметь внутренние размеры не менее 1,7 м в ширину и 1,5 м в глубину.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нового строительства общественных и производственных зданий рекомендуется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применять лифты с шириной дверного проема не менее 0,95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ГОСТ Р 53770.</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Для жилых многоквартирных зданий для транспортирования инвалидов на кресле-коляске допустимо использование лифта с размером кабины (ширина глубину) 2,1 1,1 м и шириной дверного проема 1,2 м, в которой кресло-коляска размещается с поворотом На объектах физкультурного, спортивного и физкультурно-досугового назначения для транспортирования людей на креслах-колясках следует применять лифт с внутренними размерами кабины лифта не менее 2,1 1,5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5.2.20 Световая и звуковая информирующая сигнализация в кабине лифта, доступного для инвалидов, должна соответствовать требованиям ГОСТ Р 51631 и Технического регламента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стены.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5.2.21 Установку подъемных платформ с наклонным перемещением для преодоления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ГОСТ Р 51630. Свободное пространство перед подъемными платформами должно составлять не менее 1,6 1,6 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5.2.22 Эскалаторы должны быть оснащены тактильными предупреждающими знаками у каждого края. 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pPr>
        <w:pStyle w:val="Normal"/>
        <w:spacing w:lineRule="auto" w:line="240" w:before="0" w:after="0"/>
        <w:jc w:val="both"/>
        <w:rPr>
          <w:rFonts w:ascii="Arial-BoldMT" w:hAnsi="Arial-BoldMT" w:cs="Arial-BoldMT"/>
          <w:b/>
          <w:b/>
          <w:bCs/>
          <w:color w:val="000000"/>
          <w:sz w:val="23"/>
          <w:szCs w:val="23"/>
        </w:rPr>
      </w:pPr>
      <w:r>
        <w:rPr>
          <w:rFonts w:cs="Arial-BoldMT" w:ascii="Arial-BoldMT" w:hAnsi="Arial-BoldMT"/>
          <w:b/>
          <w:bCs/>
          <w:color w:val="000000"/>
          <w:sz w:val="23"/>
          <w:szCs w:val="23"/>
        </w:rPr>
        <w:t>Пути эвакуации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5.2.23 Проектные решения зданий и сооружений должны обеспечивать безопасность</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посетителей в соответствии с требованиями "Технического регламента о безопасности зданий и сооружений", "Технического регламента о требованиях пожарной безопасности" и ГОСТ 12.1.004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5.2.25 Ширина (в свету) участков эвакуационных путей, используемых МГН, должна быть не менее, м: дверей из помещений, с числом находящихся в них инвалидов не более 15 чел. 0,9; проемов и дверей в остальных случаях; проходов внутри помещений 1,2; переходных лоджий и балконов, межквартирных коридоров (при открывании дверей внутрь) 1,5; коридоров, пандусов, используемых инвалидами для эвакуации согласно 5.2.1.</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5.2.26 Пандус, служащий путем эвакуации со второго и вышележащих этажей, должен иметь выход наружу из здания на прилегающую территорию.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 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эвакуации.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Зоны безопасности рекомендуется предусматривать в холлах лифтов для транспортирования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пожарных подразделений, а также в холлах лифтов, используемых МГН. Данные лифты могут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использоваться для спасения инвалидов во время пожара. Число лифтов для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устанавливается расчетом согласно приложению Г.</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состав зоны безопасности может включаться площадь примыкающей лоджии или балкона,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отделенных противопожарными преградами от остальных помещений этажа, не входящих в зону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безопасности. Лоджии и балконы могут не иметь противопожарного остекления, если наружная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стена под ними глухая с пределом огнестойкости не менее REI 30 (EI 30) или имеющиеся в этой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стене оконные и дверные проемы должны быть заполнены противопожарными окнами и дверями.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5.2.28 Площадь зоны безопасности должна быть предусмотрена на всех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остающихся по расчету на этаже, исходя из удельной площади, приходящейся на одного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спасаемого, при условии возможности его маневрирования, м /чел.:</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инвалиде кресле-коляске 2,40;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 в кресле-коляске с сопровождающим 2,65;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 перемещающийся самостоятельно 0,75;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 перемещающийся с сопровождающим 1,00.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обоснованном использовании в качестве зоны безопасности незадымляемой лестничной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клетки или пандуса, служащего путем эвакуации, размеры площадок лестничной клетки и пандуса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необходимо увеличить исходя из размеров проектируемой зоны.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5.2.29 Зона безопасности должна быть запроектирована в соответствии с требованиями СП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1.13130 в отношении конструктивных решений и применяемых материалов.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Зона безопасности должна быть отделена от других помещений и примыкающих коридоров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противопожарными преградами, имеющими пределы огнестойкости: стены, перегородки,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перекрытия - не менее REI 60, двери и окна - первого типа.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Зона безопасности должна быть незадымляемой. При пожаре в ней должно создаваться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избыточное давление 20 Па при одной открытой двери эвакуационного выхода.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5.2.30 Каждая зона безопасности общественного здания должна быть оснащена селекторной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связью или другим устройством визуальной или текстовой связи с диспетчерской или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помещением пожарного поста (поста охраны).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Двери, стены помещений зон безопасности, а также пути движения к зонам безопасности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должны быть обозначены эвакуационным знаком Е 21 по ГОСТ Р 12.4.026.</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планах эвакуации должны быть обозначены места расположения зон безопасности.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5.2.31 Верхнюю и нижнюю ступени в каждом марше эвакуационных лестниц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окрашивать в контрастный цвет или применять тактильные предупредительные указатели,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контрастные по цвету по отношению к прилегающим поверхностям пола, шириной 0,3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Возможно применение для ориентации и помощи слепым и слабовидящим защитного углового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профиля на каждой ступени по ширине марша. Материал должен быть шириной 0,05-0,065 м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проступи и 0,03-0,055 м на подступенке. Он должен визуально контрастировать с остальной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поверхностью ступени.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Кромки ступеней или поручни лестниц на путях эвакуации должны быть окрашены краской,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светящейся в темноте, или на них наклеены световые ленты.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5.2.32 Допускается для эвакуации предусматривать наружные эвакуационные лестницы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(лестницы третьего типа), если они отвечают требованиям 5.2.9.</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этом должны выполняться одновременно следующие условия: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лестница должна находиться на расстоянии более 1,0 м от оконных и дверных проемов;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лестница должна иметь аварийное освещение.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 допускается предусматривать пути эвакуации для слепых и других инвалидов по открытым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наружным металлическим лестницам.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5.2.33 На объектах с постоянным проживанием или временным пребыванием лиц с девиантным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поведением на дверях эвакуационных выходов допускается применение электромагнитных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замков. При этом следует предусмотреть разблокирование этих дверей одним из способов: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срабатывании автоматической пожарной сигнализации и (или) автоматической установки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пожаротушения;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дистанционно с пожарного поста (с поста охраны);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 месту с применением ручных магнитных ключей.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объектах с постоянным проживанием или временным пребыванием МГН в коридорах,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лифтовых холлах, в лестничных клетках, где предусматривается эксплуатация дверей в открытом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положении, следует предусматривать один из следующих способов закрывания дверей: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автоматическое закрывание этих дверей при срабатывании АПС и (или) автоматической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установки пожаротушения;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дистанционное закрывание дверей с пожарного поста (с поста охраны);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механическое разблокирование дверей по месту,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путях эвакуации допускается применение раздвижных дверей при условии, что они: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имеют функцию "антипаника",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наряду с раздвижными имеются эвакуационные распашные двери,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раскрываются и фиксируются при срабатывании автоматически, дистанционно с пожарного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поста (поста охраны), от кнопки у двери или механическим способом.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5.2.34 Освещенность на путях эвакуации (в том числе в начале и конце пути) и в местах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оказания (предоставления) услуг для МГН в зданиях общественного и производственного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назначения следует повышать на одну ступень по сравнению с требованиями СП 52.13330.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Перепад освещенности между соседними помещениями и зонами не должен быть более 1:4.</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5.3 Санитарно-бытовые помещения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5.3.1 Во всех зданиях, где имеются санитарно-бытовые помещения,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предусмотрены специально оборудованные для МГН места в раздевальных, универсальные кабины в уборных и душевых, ванных.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5.3.2 В общем количестве кабин уборных общественных и производственных зданий доля доступных для МГН кабин должна составлять 7%, но не менее одной.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применяемой дополнительно универсальной кабине вход следует проектировать с учетом возможной разницы полов сопровождающего и инвалида.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Размеры универсальной кабины в плане не менее, м: ширина - 2,2, глубина - 2,25.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0,85 м. Габариты поддона (трапа) должны быть не менее 0,9 1,5 м, свободной зоны - не менее 0,8 1,5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Доступные кабины должны быть оборудованы системой тревожной сигнализации,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обеспечивающей связь с помещением постоянного дежурного персонала (поста охраны или администрации объекта).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Над входом в доступные кабины рекомендуется устанавливать световые мигающие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оповещатели, срабатывающие при нажатии тревожной кнопки.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Таблица 1</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Наименование Размеры в плане (в чистоте),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Кабины душевых: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закрытые 1,8 1,8</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открытые и со сквозным проходом; полудуши 1,2 0,9</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Кабины личной гигиены женщин 1,8 2,6</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Примечание - Габаритные размеры могут быть уточнены в процессе проектирования в зависимости от применяемого оборудования и его размещения.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5.3.8 Ширину проходов между рядами следует принимать не менее, м: для кабин душевых закрытых и открытых, умывальников групповых и одиночных, уборных, писсуаров 1,8; для шкафов гардеробных со скамьями (с учетом скамей) 2,4; то же, без скамей 1,8.</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Следует применять унитазы с автоматическим сливом воды или с ручным кнопочным</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управлением, которое следует располагать на боковой стене кабины, со стороны которой осуществляется пересадка с кресла-коляски на унитаз.</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5.4 Внутреннее оборудование и устройства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5.4.1 При подборе типа внутреннего оборудования, используемого МГН, и его размещения в здании, помещениях необходимо учитывать их соответствие требованиям ГОСТ Р 53453.</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Целесообразно использовать контрастные сочетания цветов в применяемом оборудовании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(дверь - стена, ручка; санитарный прибор - пол, стена; стена - выключатели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Выключатели и электророзетки в помещениях следует предусматривать на высоте не более 0,8</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от уровня пола. Допускается применение, в соответствии с техническим заданием,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выключателей (включателей) дистанционного управления электроосвещением, зашториванием,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электронными приборами и иной техникой.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5.4.3 Следует применять дверные ручки, запоры, задвижки и другие приборы открывания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закрытия дверей, которые должны иметь форму, позволяющую инвалиду управлять ими одной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рукой и не требующую применения слишком больших усилий или значительных поворотов руки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запястье. Целесообразно ориентироваться на применение легко управляемых приборов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механизмов, а также П-образных ручек.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Ручки на полотнах раздвижных дверей должны устанавливаться таким образом, чтобы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полностью открытых дверях эти ручки были легкодоступными с обеих сторон двери.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Ручки дверей, расположенных в углу коридора или помещения, должны размещаться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расстоянии от боковой стены не менее 0,6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5.4.4 На входных дверях в специальных помещениях (бойлерных, вентиляционных камерах,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трансформаторных узлах и т.п.), следует применять дверные ручки, имеющие поверхность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опознавательными насечками или неровностями, ощущаемыми тактильно.</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5.5 Аудиовизуальные информационные системы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входы, если не все входы в здание, сооружение являются доступными; места в общих санузлах; гардеробные, примерочные, раздевалки в зданиях, в которых не все подобные помещения являются доступными;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лифты и другие подъемные устройства; зоны безопасности; проходы в других местах обслуживания МГН, где не все проходы являются доступными.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Указатели направления, указывающие путь к ближайшему доступному элементу, могут предусматриваться при необходимости в следующих местах: недоступные входы в здание; недоступные общественные уборные, душевые, ванные; лифты, не приспособленные для перевозки инвалидов; выходы и лестницы, не являющиеся путями эвакуации инвалидов.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Они должны соответствовать требованиям ГОСТ Р 51671, ГОСТ Р 51264, а также учитывать требования СП 1.13130.</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5.5.3 Система средств информации зон и помещений (особенно в местах массового</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Здание или сооружение по заданию на проектирование может быть дополнительно</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оборудовано радиомаяками (радио-метками) для слепых или слабовидящих посетителей, имеющих радиоинформаторы. Радиомаяки устанавливаются над дверными проемами и на стенах помещений.</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Для аварийной звуковой сигнализации следует применять приборы, обеспечивающие уровень звука не менее 80-100 дБ в течение 30 с.</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Звуковые сигнализаторы (электрические, механические или электронные) должны</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удовлетворять требованиям ГОСТ 21786. Аппаратура привода их в действие должна находиться не менее чем за 0,8 м до предупреждаемого участка пути.</w:t>
      </w:r>
    </w:p>
    <w:p>
      <w:pPr>
        <w:pStyle w:val="Normal"/>
        <w:spacing w:lineRule="auto" w:line="240" w:before="0" w:after="0"/>
        <w:jc w:val="both"/>
        <w:rPr>
          <w:rFonts w:ascii="ArialMT" w:hAnsi="ArialMT" w:cs="ArialMT"/>
          <w:color w:val="000000"/>
          <w:sz w:val="23"/>
          <w:szCs w:val="23"/>
        </w:rPr>
      </w:pPr>
      <w:r>
        <w:rPr>
          <w:rFonts w:cs="ArialMT" w:ascii="ArialMT" w:hAnsi="ArialMT"/>
          <w:color w:val="000000"/>
          <w:sz w:val="23"/>
          <w:szCs w:val="23"/>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должныбыть оснащены справочные всех видов, билетные кассы массовой продажи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Визуальная информация должна располагаться на контрастном фоне на высоте не менее 1,5 м и не более 4,5 м от уровня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общественной уборной тревожный сигнал или извещатель должен выводиться в дежурную комнату.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5.5.8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1,3 до 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Нумерация шкафов в раздевальных должна быть выполнена рельефным шрифтом и на контрастном фоне.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5.5.9 Примеры обустройства зданий, сооружений и их помещений приведены в приложении Д,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рисунках Д.1-Д.12.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5.5.10 На каждом этаже многоуровневой автостоянки должны быть установлены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информационные мониторы, указатели, обозначающие путь движения к билетному автомату,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лифту и др. Указатели специализированных парковочных мест следует размещать на въезде и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каждом изменении маршрута к специализированным парковочным местам.</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6 Специальные требования к местам проживания</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инвалидов</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6.1 Общие 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6.1.1 При проектировании жилых многоквартирных зданий кроме данного документа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учитывать требования СП 54.13330.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6.1.2 Доступными для МГН должны быть придомовые территории (пешеходные пути движения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площадки), помещения от входа в здание до зоны проживания инвалида (квартира, жилая ячейка,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комната, кухня, санузлы) в многоквартирных домах и общежитиях, помещения в жилой и сервисной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частях (группе обслуживающих помещений) гостиниц и других зданий временного пребывания.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6.1.3 Габаритные схемы путей движения и функциональных мест рассчитываются на движение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инвалида на кресле-коляске, а по оборудованию - также и на слабовидящих, незрячих и глухих.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6.1.4 Жилые многоквартирные дома и жилые помещения общественных зданий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проектировать, обеспечивая потребности инвалидов, включая: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доступность квартиры или жилого помещения от уровня земли перед входом в здание;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доступность из квартиры или жилого помещения всех помещений, обслуживающих жителей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применение оборудования, отвечающего потребностям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обеспечение безопасности и удобства пользования оборудованием и приборами.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6.1.5 В жилых домах галерейного типа ширина галерей должна быть не менее 2,4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6.1.6 Расстояние от наружной стены до ограждения балкона, лоджии должно быть не менее 1,4</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высота ограждения - в пределах от 1,15 до 1,2 м. Каждый конструктивный элемент порога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наружной двери на балкон или лоджию не должен быть выше 0,014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Примечание - При наличии свободного пространства от проема балконной двери в каждую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сторону не менее 1,2 м, расстояние от ограждения до стены допускается сократить до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Ограждения балконов и лоджий в зоне между высотами от 0,45 до 0,7 м от уровня пола должны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быть прозрачными для обеспечения хорошего обзора инвалиду на 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6.1.7 Размеры в плане санитарно-гигиенических помещений для индивидуального 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жилых зданиях должны быть не менее,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ванной комнаты или совмещенного санитарного узла 2,2 2,2;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уборной с умывальником (рукомойником) 1,6 2,2;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уборной без умывальника 1,2 1,6.</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Примечание - Габаритные размеры могут быть уточнены в процессе проектирования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зависимости от применяемого оборудования и его размещения.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6.1.8 Ширину проема в свету входной двери в квартиру и балконной двери следует принимать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 менее 0,9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дверного проема в санитарно-гигиенические помещения жилых домов должна быть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0,8 м, ширину проема в чистоте межкомнатных дверей в квартире следует принимать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0,8 м.</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6.2 Дома жилищного фонда социального использования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6.2.1 При учете потребностей инвалидов в специализированной форме проживания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приспособление зданий и их помещений рекомендуется производить по индивидуальной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программе с учетом задач, конкретизируемых заданием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6.2.2 Многоквартирные жилые дома с квартирами, предназначенными для проживания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и людей пожилого возраста, следует проектировать не ниже второй степени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огнестойкости.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6.2.3 В жилых домах муниципального социального жилищного фонда следует устанавливать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заданием на проектирование количество и специализацию квартир по отдельным категориям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проектировании жилых помещений следует предусматривать возможность последующего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их переоснащения при необходимости учета потребности других категорий проживающих.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6.2.4 При проектировании квартир для семей с инвалидами на креслах-колясках в уровне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первого этажа следует обеспечивать возможность выхода непосредственно на придомовую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территорию или приквартирный участок. Для отдельного входа через приквартирный тамбур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устройства подъемника рекомендуется увеличение площади квартиры на 12 м . Параметры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подъемника принимать по ГОСТ Р 51633.</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6.2.5 Жилая зона для проживания инвалидов должна иметь, как минимум, жилую комнату,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совмещенный санитарный узел, доступный для инвалида, холл-переднюю площадью не менее 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 доступный путь движения.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6.2.6 Минимальный размер жилого помещения для инвалида, передвигающегося на кресле-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коляске, должен составлять не менее 16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6.2.7 Ширина (по наружной стене) жилой комнаты для проживания инвалидов должна быть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3,0 м (для немощных - 3,3 м; передвигающихся на кресле-коляске - 3,4 м). Глубина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(перпендикулярно наружной стене) комнаты должна быть не более ее двойной ширины.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наличии перед наружной стеной с окном летнего помещения глубиной 1,5 м и более глубина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комнаты должна быть не более 4,5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спального помещения для инвалидов должна быть не менее 2,0 м (для немощных - 2,5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для передвигающихся на кресле-коляске - 3,0 м). Глубина помещения должна быть не менее 2,5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6.2.8 Площадь общей комнаты (гостиной) рекомендуется принимать не менее: в одно-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двухкомнатных квартирах - 18 м ; в трех- , четырехкомнатных квартирах - 20-22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6.2.9 Площадь кухни квартир для семей с инвалидами на креслах-колясках в жилых домах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социального жилищного фонда следует принимать не менее 9 м . Ширина такой кухни должна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быть не менее: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2,3 м - при одностороннем размещении оборудования;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2,9 м - при двухстороннем или угловом размещении оборудования.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Кухни следует оснащать электроплитами.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квартирах для семей с инвалидами, пользующимися креслами-колясками, вход в помещение,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оборудованное унитазом, допускается проектировать из кухни или жилой комнаты и оборудовать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сдвижной дверью.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6.2.10 Ширина подсобных помещений в квартирах для семей с инвалидами (в том числе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креслах-колясках) должна быть не менее,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передней (с возможностью хранения кресла-коляски) 1,4;</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внутриквартирных коридоров 1,15.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6.2.11 В жилых домах муниципального социального жилищного фонда следует предусматривать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возможность установки при необходимости видеофонов для лиц с нарушением слуха,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предусмотреть для этой категории лиц улучшенную звукоизоляцию жилых помещений.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составе квартиры инвалида целесообразно предусмотреть кладовую площадью не менее 4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хранения инструментов, материалов и изделий, используемых и производимых инвалидами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работах на дому, а также для размещения тифлотехники и брайлевской литературы.</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6.3 Помещения временного пребывания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6.3.1 В гостиницах, мотелях, пансионатах, кемпингах и т.п. планировку и оборудование 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жилых номеров следует предусматривать универсальными, с учетом расселения любых категорий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посетителей, в том числе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обеспечить в номере свободное пространство диаметром 1,4 м перед дверью, 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кровати, перед шкафами и окнами.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6.3.2 При планировке номеров гостиниц и других учреждений временного пребывания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учитывать требования 6.1.3-6.1.8 настоящего документа.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6.3.3 Все виды сигнализации следует проектировать с учетом их восприятия всеми категориями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и требований ГОСТ Р 51264. Места размещения и назначение сигнализаторов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определяется в задании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применять домофоны со звуковой, вибрационной и световой сигнализацией,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видеодомофоны.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Жилые помещения для постоянного проживания инвалидов должны быть оборудованы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автономными пожарными извещателями.</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7 Специальные требования к местам обслуживания маломобильных групп населения в общественных зданиях</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7.1 Общие положения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 При проектировании общественных зданий кроме данного документа следует учитывать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 СП 59.13330.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Перечень элементов зданий и сооружений (помещений, зон и мест), доступных для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расчетная численность и категория инвалидов устанавливаются в необходимых случаях заданием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проектирование, утверждаемым в установленном порядке по согласованию с территориальным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органом социальной защиты населения и с учетом мнения общественных объединений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зависимости от объемно-планировочных решений здания, от расчетного числа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маломобильных посетителей, функциональной организации учреждения обслуживания, следует применять один из двух вариантов форм обслуживания: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одного места от расчетной вместимости учреждения или расчетного числа посетителей, в том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числе и при выделении зон специализированного обслуживания МГН в здании.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7.1.4 При наличии нескольких идентичных мест (приборов, устройств и т.п.) обслуживания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посетителей 5% общего числа, но не менее одного, должны быть запроектированы так, чтобы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 мог ими воспользоваться (если иного не указывается в задании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7.1.5 Все проходы (кроме одностороннего) должны обеспечивать возможность разворота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180° с диаметром не менее 1,4 м или на 360° с диаметром не менее 1,5 м, а также фронтального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(вдоль прохода) обслуживания инвалидов на кресле-коляске вместе с сопровождающим.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7.1.6 При ширине прохода не более 1,8 м рекомендуется предусматривать через каждые 10-15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длины коридора, но не менее одного на коридор, уширение глубиной 1,8 м, длиной - 3,0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7.1.7 В зрительных залах, на трибунах спортивно-зрелищных сооружений и других зрелищных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объектах со стационарными местами должны быть предусмотрены места для людей на креслах-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колясках из расчета не менее 1% общего числа зрителей.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Выделенная для этого площадка должна быть горизонтальной с уклоном не более 2%. Каждое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место должно иметь размеры не менее,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доступе сбоку - 0,55 0,85;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доступе спереди или сзади - 1,25 0,85.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многоуровневых зрелищных помещениях общественных зданий, где на втором этаже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промежуточном уровне размещается не более 25% мест и не более 300 сидений, все места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кресел-колясок могут размещаться на основном уровне.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Залы вместимостью более 800 мест рекомендуется дополнительно оснащать телемониторами.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каждом зале со звуковой системой должна быть система усиления звука, индивидуальная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или коллективного 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использовании в зале затемнения в зоне зрительских мест пандусы и ступени должны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иметь подсветку.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7.1.8 При входах в здания массового посещения (вокзалы всех видов транспорта, учреждения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социального назначения, торговые предприятия, административно-управленческие учреждения,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многофункциональные комплексы и т.п.) для инвалидов по зрению должна быть установлена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информационная мнемосхема (тактильная схема движения), отображающая информацию 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помещениях в здании, не мешающая основному потоку посетителей. Она должна размещаться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правой стороны по ходу движения на удалении от 3 до 5 м. На основных путях движения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предусмотреть тактильную направляющую полосу с высотой рисунка не более 0,025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7.1.9 При проектировании интерьеров, подборе и расстановке приборов и устройств,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технологического и другого оборудования следует исходить из того, что зона досягаемости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посетителя в кресле-коляске должна находиться в пределах: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расположении сбоку от посетителя - не выше 1,4 м и не ниже 0,3 м от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фронтальном подходе - не выше 1,2 м и не ниже 0,4 м от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 столов индивидуального пользования, прилавков, низа окошек касс, справочных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других мест обслуживания, используемых посетителями на креслах-колясках, должна находиться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высоте не более 0,85 м над уровнем пола. Ширина и высота проема для ног должна быть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0,75 м, глубиной не менее 0,49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Часть стойки-барьера выдачи книг в абонементе рекомендуется предусматривать высотой 0,85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рабочего фронта прилавка, стола, стойки, барьера и т.п. у места получения услуги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быть не менее 1,0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7.1.10 У мест или зон для зрителей на креслах-колясках в аудиториях с амфитеатром,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зрительных и лекционных залах следует предусматривать меры безопасности (ограду, буферную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полосу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7.1.11 В аудиториях, зрительных и лекционных залах вместимостью более 50 человек,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оборудованных фиксированными сидячими местами, необходимо предусматривать не менее 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кресел с вмонтированными системами индивидуального прослушивания.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7.1.12 Места для лиц с дефектами слуха следует размещать на расстоянии не более 3 м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источника звука или оборудовать специальными персональными приборами усиления звука.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Допускается применять в залах индукционный контур или другие индивидуальные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беспроводные устройства. Эти места следует располагать в зоне хорошей видимости сцены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переводчика жестового языка. Необходимость выделения дополнительной (с индивидуальным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освещением) зоны для переводчика устанавливается заданием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7.1.13 Площадь помещения для индивидуального приема посетителей, доступного и для инвалидов, должна быть 12 м , а на два рабочих места - 18 м .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7.1.14 Планировка кабины для переодевания, примерочной и т.п. должны иметь свободное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пространство размером не менее 1,5 1,5 м.</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7.2 Здания и помещения учебно-воспитательного назначения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7.2.1 Здания общеобразовательных учреждений рекомендуется проектировать доступными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всех категорий учащихся.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Проектные решения зданий профессиональных образовательных учреждений должны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учитывать возможность обучения студентов-инвалидов по специальностям, утвержденным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действующим законодательством. Количество обучающихся по группам устанавливается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заказчиком в задании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Здания специальных реабилитационных образовательных учреждений, сочетающих обучение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коррекцией и компенсацией недостатков развития по определенному виду заболевания,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проектируются по специальному заданию на проектирование, включающему перечень и площади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помещений, специализированное оборудование и организацию учебного и реабилитационного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процессов с учетом специфики преподавания.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7.2.2 Лифт для учащихся-инвалидов, передвигающихся в инвалидном кресле, в учреждениях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общего образования, а также начального и среднего профессионального образования должен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предусматриваться в выделенном лифтовом холле.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7.2.3 Ученические места для учащихся-инвалидов должны размещаться идентично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однотипных учебных помещениях одного учебного учреждения.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учебном помещении первые столы в ряду у окна и в среднем ряду следует предусмотреть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учащихся с недостатками зрения и дефектами слуха, а для учащихся, передвигающихся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кресле-коляске - выделить 1-2 первых стола в ряду у дверного проема.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7.2.4 В актовых и зрительных залах неспециализированных образовательных учреждений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предусматривать места для инвалидов на креслах-колясках из расчета: в зале на 50-150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 - 3-5 мест; в зале на 151-300 мест - 5-7 мест; в зале на 301-500 мест - 7-10 мест; в зале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501-800 мест - 10-15 мест, а также их доступность на эстраду, сцену.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Места для учащихся-инвалидов с повреждением опорно-двигательного аппарата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на горизонтальных участках пола, в рядах, непосредственно примыкающих 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проходам и в одном уровне с входом в актовый зал.</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7.2.5 В читальном зале библиотеки образовательного учреждения не менее 5% читальных мест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оборудовать с учетом доступа учащихся-инвалидов и отдельно - для учащихся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недостатками зрения. Рабочее место для инвалидов по зрению должно иметь дополнительное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освещение по периметру.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7.2.6 В образовательных учреждениях в раздевальных физкультурного зала и бассейна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учащихся-инвалидов следует предусматривать закрытую раздевальную с душем и унитазом.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7.2.7 В образовательных учреждениях для учащихся инвалидов с нарушением слуха во всех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помещениях следует предусмотреть установку светового сигнализатора школьного звонка,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световой сигнализации об эвакуации в случае чрезвычайных ситуаций.</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7.3 Здания и помещения здравоохранения и социального</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обслуживания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7.3.1 Для проектирования зданий учреждений стационарного и полустационарного социального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обслуживания (хосписы, дома сестринского ухода, дома-интернаты и т.п.) и зданий,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предназначенных для стационарного пребывания больных, в том числе инвалидов и других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(больницы и диспансеры различного уровня обслуживания и различного профиля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психиатрические, кардиологические, восстановительного лечения и др.), в техническом задании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должны устанавливаться дополнительные медико-технологические требования.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проектировании учреждений социального обслуживания граждан пожилого возраста и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соблюдать также ГОСТ Р 52880.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7.3.2 Для пациентов и посетителей реабилитационных учреждений, специализирующихся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лечении людей с ограничениями в передвижении, следует выделять на автостоянках до 10% мест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Зона посадки пассажиров должна быть предусмотрена у доступного входа в медицинское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учреждение, где люди получают медицинскую помощь или лечение.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7.3.3 Входы в медицинские учреждения для пациентов и посетителей должны иметь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визуальную, тактильную и акустическую (речевую и звуковую) информацию с указанием групп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помещений (отделений), в которые можно попасть через данный вход.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Входы в кабинеты врачей и процедурные должны быть оборудованы световыми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сигнализаторами вызова пациентов.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7.3.4 Травмпункт, инфекционный кабинет и приемное отделение должны иметь автономные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наружные входы, доступные для инвалидов. Травмпункт должен размещаться на первом этаже.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7.3.5 Ширина коридоров, используемых для ожидания, при двустороннем расположении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кабинетов должна быть не менее 3,2 м, при одностороннем - не менее 2,8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7.3.6 Не менее, чем один из отсеков зала лечебных и грязевых ванн, включая раздевальную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нем, должен быть приспособлен для инвалида на 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залах лечебной физкультуры в качестве ограждений, направляющих и ограничивающих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движение, следует применять приспособления и материалы, смягчающие удар.</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7.4 Здания и помещения сервисного обслуживания населения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Предприятия торговли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 Комплектация и расстановка оборудования в торговых залах, доступных инвалидам,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быть рассчитана на обслуживание лиц, передвигающихся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самостоятельно и с сопровождающими, инвалидов на костылях, а также инвалидов по зрению.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Столы, прилавки, расчетные плоскости кассовых кабин следует располагать на высоте,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превышающей 0,8 м от уровня пола. Максимальная глубина полок (при подъезде вплотную)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быть более 0,5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7.4.2 Как минимум один из расчетно-кассовых постов в зале должен быть оборудован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соответствии с требованиями доступности для инвалидов, В расчетно-кассовой зоне должно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приспособлено не менее одного доступного контрольно-кассового аппарата. Ширина прохода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около расчетно-кассового аппарата должна быть не менее 1,1 м (таблица 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Таблица 2 - Доступные проходы расчетно-кассовой зоны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Общее число проходов Число доступных проходов (минимум)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1-4 1</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5-8 2</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9-15 3</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Более 15 3+20% дополнительных проходов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7.4.3 Для акцентирования внимания покупателей с недостатками зрения на необходимой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информации следует активно использовать тактильные, световые указатели, табло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пиктограммы, а также контрастное цветовое решение элементов интерьера.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7.4.4 В удобном для посетителя-инвалида по зрению месте и в доступной для него форме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располагаться информация о расположении торговых залов и секций, об ассортименте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ценники на товары, а также средства связи с администрацией.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Предприятия питания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7.4.5 В обеденных залах предприятий питания (или в зонах, предназначенных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специализированного обслуживания МГН) рекомендуется предусматривать обслуживание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официантами. Площадь таких обеденных залов следует определять исходя из</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норматива площади не менее 3 м на место.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7.4.6 В предприятиях самообслуживания рекомендуется отводить не менее 5% мест, а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вместимости зала более 80 мест - не менее 4%, но не менее одного для лиц, передвигающихся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креслах-колясках и с недостатками зрения, с площадью каждого места не менее 3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7.4.7 В помещениях обеденных залов расстановка столов, инвентаря и оборудования должна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обеспечивать беспрепятственное движение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прохода около прилавков для сервирования блюд в предприятиях самообслуживания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быть не менее 0,9 м. Для обеспечения свободного огибания при проезде кресла-коляски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ширину прохода рекомендуется увеличивать до 1,1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буфетах и закусочных должно быть не менее одного стола высотой 0,65-0,7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прохода между столами в ресторане должна быть не менее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Секция стойки бара для инвалидов на кресле-коляске должна иметь ширину столешницы 1,6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высоту от пола 0,85 м и свободное пространство для ног 0,75 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Предприятия бытового обслуживания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7.4.8 В предприятиях бытового обслуживания в предусмотренных по проекту гардеробных,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примерочных комнатах, раздевальных и т.п. не менее 5% их числа должно быть доступно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Оборудование гардеробных, примерочных, раздевальных - крючки, вешалки, полки для одежды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должны быть доступны как для инвалидов, так и для остальных граждан.</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Здания вокзалов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7.4.9 Помещения зданий вокзалов разных видов пассажирского транспорта (железнодорожного,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автомобильного, воздушного, речного и морского), переходы, платформы и другие сооружения,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предназначенные для обслуживания пассажиров, должны быть доступными для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7.4.10 В зданиях вокзалов следует предусматривать доступными: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 и сооружения обслуживания: вестибюли; операционные и кассовые залы; камеры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хранения ручного багажа; пункты регистрации пассажиров и багажа; специальные помещения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ожидания и отдыха - депутатские комнаты, комнаты матери и ребенка, комнаты длительного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отдыха; уборные;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 зоны в них или сооружения дополнительного обслуживания: торговые (обеденные)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залы ресторанов, кафе, кафетериев, закусочных; торговые, аптечные и другие киоски,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парикмахерские, залы игровых автоматов, торговые и прочие автоматы, пункты предприятий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связи, таксофоны;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служебные помещения: дежурного администратора, пункта медицинской помощи, охраны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7.4.11 Площадь зон отдыха и ожидания для МГН в зданиях вокзалов, если она создается,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определяется исходя из показателя - 2,1 м на одно место. Часть диванов или скамей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сидения в залах следует располагать на расстоянии не менее 2,7 м напротив друг друга.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7.4.12 Специальную зону ожидания и отдыха рекомендуется размещать на основном этаже,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одном уровне с входом в здание вокзала и выходами к платформам (перронам, причалам)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обеспечении освещенных, безопасных и коротких переходов между ними.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Залы ожидания должны иметь удобную связь с вестибюлем, рестораном (кафе-буфетом),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уборными и камерами хранения, располагаясь, как правило, в одном с ними уровне.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7.4.13 Места в специальной зоне ожидания и отдыха следует оборудовать индивидуальными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средствами информации и связи: наушниками, подключаемыми к системам информационного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обеспечения вокзалов; дисплеями с дублированием изображения информационных табло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звуковых объявлений; техническими средствами экстренной связи с администрацией,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доступными тактильному восприятию; прочими специальными системами сигнально-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информационного обеспечения (компьютеры, справки по телефону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7.4.14 На железнодорожных вокзалах, где доступ пассажиров с платформ на привокзальную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площадь или на противоположную ей селитебную территорию пересекается железнодорожными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путями с интенсивностью движения поездов до 50 пар в сутки и скоростью прохождения поездов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 120 км/ч, для перемещения инвалидов на креслах-колясках допускается использовать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переходы в уровне рельсов, оборудованные сигнализацией автоматического действия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световыми указателями. На отрезке такого прохода вдоль железнодорожного пути (включая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торцевой по отношению к платформе пандус) следует предусматривать защитное ограждение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высотой не менее 0,9 м с расположенными на этой же высоте поручнями.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7.4.15 На кромках посадочной стороны перрона следует применять предупредительные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сигнальные полосы вдоль краев платформы, а также тактильные наземные указатели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пассажиров с недостатками зрения.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перронах необходимо предусматривать дублирование визуальной информации речевой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звуковой (речевой) информации текстовой информацией.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7.4.16 Регистрация билетов и оформление багажа для МГН без сопровождения должна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осуществляться при необходимости за специальной стойкой высотой от уровня пола не более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0,85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Стойки для заполнения деклараций в аэропортах международных авиалиний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 для 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7.4.17 В автовокзалах для обслуживания МГН не рекомендуется использование островных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перронов.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7.4.18 Перроны для пассажиров должны быть удобны по высоте для посадки/высадки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на кресле-коляске и с нарушением опорно-двигательного аппарата. Перроны,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оборудованные подобными средствами, должны быть приспособлены для использования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стационарных или передвижных подъемников для посадки/высадки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7.4.19 В каждом ряду турникетов входа/выхода следует предусматривать не менее одного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расширенного прохода для проезда кресла-коляски. Его следует размещать вне зоны контроля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проездных билетов, оборудовать горизонтальными поручнями на расстоянии 1,2 м, выделяющими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зону перед проходом, а также обозначать специальной символикой.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7.4.20 В аэровокзалах в посадочных галереях с уровня второго этажа через каждые 9 м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горизонтальные площадки для отдыха размером не менее 1,5 1,5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посадке в самолет с уровня земли для подъема или спуска (высадки) МГН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специальное подъемное устройство: амбулаторный автолифт (амбулифт)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7.4.21 На аэровокзалах рекомендуется предусматривать помещение для специальной службы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сопровождения и помощи инвалидам и другим МГН, а также зону хранения малогабаритных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колясок, используемых для обслуживания инвалидов при прохождении регистрации, контроля,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досмотра и в полете.</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7.5 Объекты физкультурного, спортивного и физкультурно-</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досугового назначения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Помещения для зрителей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 На трибунах спортивно-зрелищных сооружений, предназначенных для проведения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соревнований по паралимпийским видам спорта должны быть предусмотрены места для зрителей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креслах-колясках из расчета не менее 1,5% общего числа зрительских мест. При этом 0,5%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 могут быть организованы путем временной трансформации (временного демонтажа) части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кресел для зрителей.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7.5.2 Места для инвалидов на стадионах следует предусматривать как на трибунах, так и перед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трибунами, в том числе на уровне зоны проведения соревнований.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7.5.3 Места для инвалидов следует располагать преимущественно вблизи эвакуационных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выходов. Места для сопровождающих лиц должны располагаться в непосредственной близости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 для инвалидов (чередоваться или располагаться сзади).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прохода между рядами, где сидят инвалиды на креслах-колясках, должна составлять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чистоте с учетом кресла-коляски - не менее 1,6 м (с местом для сидения - 3,0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7.5.4 Места, выделенные для размещения инвалидов на креслах-колясках, следует огораживать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барьером. Места для сопровождающих лиц должны располагаться в непосредственной близости.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Они могут чередоваться с местами для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7.5.5 На спортивных, спортивно-зрелищных и физкультурно-оздоровительных объектах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необходимо обеспечить наличие зон для выгула собак-поводырей и других служебных собак.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зоне выгула собак-поводырей рекомендуется применять легко очищаемое твердое покрытие.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7.5.6 Если на трибунах спортивных и спортивно-зрелищных объектов предусматривается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звуковая информация, то она должна дублироваться текстовой информацией.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Помещения для занимающихся физической культурой и спортом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7.5.7 Рекомендуется обеспечивать доступность для МГН во все вспомогательные помещения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учебно-тренировочных физкультурно-спортивных сооружениях: входные и рекреационные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 (вестибюли, гардеробы, зоны отдыха, буфеты), блоки раздевальных, душевых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санузлов, тренерские и учебно-методические помещения, медико-реабилитационные помещения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(медицинские комнаты, сауны, массажные и др.).</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7.5.8 Удаление обслуживающих помещений для занимающихся, включая инвалидов, от мест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проведения физкультурно-спортивных занятий не должно превышать 150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7.5.9 Расстояние от любого места пребывания инвалида в зальном помещении до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эвакуационного выхода в коридор, фойе, наружу или до эвакуационного люка трибун спортивно-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зрелищных залов не должно превышать 40 м. Ширина проходов должна быть увеличена на ширину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свободного проезда кресла-коляски (0,9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7.5.10 Доступный маршрут движения для МГН должен быть предусмотрен, по крайней мере, 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 дорожек для боулинга, но не менее чем к одной дорожке каждого типа.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открытых спортивных площадках минимум один доступный маршрут движения должен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напрямую соединять противолежащие стороны площадки.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7.5.11 При расстановке оборудования в тренажерных залах необходимо создавать проезды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людей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7.5.12 Для ориентирования лиц с полной потерей зрения и слабовидящих рекомендуется: вдоль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стен зала у специализированных ванн бассейна и на входах в зал из помещений для переодевания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 душевых следует устанавливать горизонтальные поручни на высоте от пола в пределах от 0,9 до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1,2 м, а в залах с бассейном для детей - на уровне 0,5 м от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основных маршрутах движения и на обходных дорожках специализированного бассейна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должны предусматриваться специальные тактильные полосы для информации и ориентации.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полос ориентации для открытых ванн - не менее 1,2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7.5.13 В мелкой части ванны бассейна для инвалидов с поражением опорно-двигательного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аппарата следует устраивать пологую лестницу с размерами, не менее: подступенков - 0,14 м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проступей - 0,3 м. Рекомендуется устраивать лестницу вне габаритов ванны.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7.5.14 Обходная дорожка по периметру ванн должна быть шириной не менее 2 м в крытых и 2,5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 у открытых ванн. На площади обходной дорожки следует предусматривать места для хранения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кресел-колясок.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Край ванны бассейна по всему периметру должен выделяться полосой, имеющей контрастную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окраску по отношению к цвету обходной дорожки.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7.5.15 Необходимо наличие доступных раздевальных в следующих помещениях: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медпункты/помещения для оказания первой медицинской помощи, комнаты для тренеров, судей,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официальных лиц. Для этих помещений допускается наличие одной доступной универсальной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раздевальной, рассчитанной на лиц обоего пола и оборудованной туалетом.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7.5.16 В помещениях раздевальных при спортивных сооружениях для занимающихся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предусматривать: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места для хранения кресел-колясок;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индивидуальные кабины (площадью каждая не менее 4 м ) из расчета по одной кабине на трех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одновременно занимающихся инвалидов, пользующихся креслами-колясками;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одновременно занимающихся инвалидов, пользующихся креслами-колясками;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индивидуальные шкафы (не менее двух) высотой не более 1,7 м, в том числе для хранения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костылей и протезов;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скамью длиной не менее 3 м, шириной не менее 0,7 м и высотой от пола не более 0,5 м. Вокруг</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скамьи должно быть обеспечено свободное пространство для подъезда кресла-коляски.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невозможности устройства островной скамьи следует предусматривать вдоль одной из стен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установку скамьи размером не менее 0,6 2,5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Размер прохода между скамьями в общих раздевальных должен составлять не менее 1,8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7.5.17 Площадь в общих раздевальных на одно место для занимающегося инвалида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принимать не менее: в залах - 3,8 м , в бассейнах с залом подготовительных занятий - 4,5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Расчетная площадь на одного занимающегося инвалида в раздевальных с хранением одежды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отдельном помещении гардеробной - 2,1 м . Площадь для индивидуальных кабин - 4-5 м , общих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раздевальных для инвалидов с сопровождающим - 6-8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Удельные показатели площади включают места для переодевания, шкафы для хранения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домашней одежды в общих раздевальных.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7.5.18 Число душевых кабин для инвалидов следует принимать из расчета - одна душевая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сетка на трех занимающихся инвалидов, но не менее одной.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7.5.19 В гардеробных следует применять единый шкаф для уличной и домашней одежды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размером 0,4 0,5 м в чистоте.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Индивидуальные шкафы для хранения одежды инвалидов, пользующихся креслом-коляской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раздевальных спортзалов, следует располагать в нижнем ярусе, высотой не более 1,3 м от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открытом способе хранения домашней одежды крючки в раздевальных должны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устанавливаться на той же высоте. Скамьи в гардеробных (на одного инвалида) должны иметь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плане размеры 0,6 0,8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7.5.20 В комнате отдыха при раздевальных следует предусматривать дополнительную площадь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из расчета не менее 0,4 м на каждого из одновременно занимающихся инвалидов на креслах-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колясках, а комната отдыха при сауне должна быть площадью не менее 20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7.5.21 Следует заглублять в нишу в стене поручень, которым оборудуется зал для занятий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слепых. Стены залов должны быть абсолютно гладкими, без уступов. Все крепежные детали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оборудования, регуляторов, электрических выключателей должны устанавливаться заподлицо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поверхностью стен или заглубляться.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7.5.22 Для спортивных игр инвалидов на креслах-колясках следует использовать залы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шероховатым, пружинящим напольным покрытием из синтетических материалов или спортивный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паркет.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7.5.23 Для спортивных игр инвалидов с дефектами зрения поверхность пола должна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идеально ровной и гладкой, границы площадок для игр обозначаются рельефными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наклеивающимися полосами.</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7.6 Здания и помещения зрелищного, культурно-просветительного</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назначения и религиозных организаций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 Для инвалидов рекомендуется делать доступными помещения зрительского комплекса: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вестибюль, кассовый вестибюль, гардероб, санузлы, фойе, буфеты, коридоры и кулуары перед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зрительным залом. В соответствии с заданием на проектирование для инвалидов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 следующие помещения исполнительского комплекса: эстрада, сцена, артистические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уборные, артистические вестибюль, буфет, санузлы, кулуары и коридоры.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7.6.2 Пандусы в залах, ведущие к рядам в ярусных амфитеатрах, должны иметь перила по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стенам и подсвет ступеней. При уклоне пандуса более 1:12 места для инвалидов на креслах-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колясках следует предусматривать на ровном полу в первых рядах.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Зрелищные учреждения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7.6.3 Места для инвалидов в зальных помещениях следует располагать в доступной для них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зоне зала, обеспечивающей: полноценное восприятие демонстрационных, зрелищных,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информационных, музыкальных программ и материалов; оптимальные условия для работы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читальных залах библиотек); отдыха (в зале ожидания).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зальных помещениях не менее двух рассредоточенных выходов должны быть приспособлены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прохода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зрительных залах, оборудованных стульями или скамьями, должны иметься сиденья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подлокотниками, из расчета - не менее один стул с подлокотником на пять стульев без</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подлокотников. Скамьи должны обеспечивать надежную опору для спины и пространство под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сиденьем глубиной не менее 1/3 глубины скамьи.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7.6.4 В многоярусных залах необходимо предусматривать места для инвалидов на кресле-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коляске на уровне первого яруса, а также на одном из промежуточных. Необходимо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места для кресел-колясок в клубных боксах, ложах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 крайней мере, 5% общего числа откидных мест в проходах, но не менее одного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специальными местами, расположенными как можно ближе к выходам из зала.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7.6.5 Места для инвалидов в зрительных залах предпочтительнее располагать в отдельных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рядах, имеющих самостоятельный путь эвакуации, не пересекающийся с путями эвакуации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остальной части зрителей.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зрительных залах с числом мест 800 и более, места для 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рассредоточивать в различных зонах, размещая их в непосредственной близости 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эвакуационных выходов, но в одном месте не более трех.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7.6.6 При расположении мест для зрителей на креслах-колясках перед сценой, эстрадой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первом ряду или в конце зала вблизи выхода следует предусматривать свободные площадки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шириной в свету не менее 1,8 м и рядом место для сопровождающего.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Перед сценой, эстрадой в первом ряду, а также в центре зала или по его бокам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индивидуально освещаемые площадки для размещения при необходимости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переводчиков жестового языка.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7.6.7 Для возможности участия в программах инвалидов на креслах-колясках рекомендуется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эстрада с увеличением глубины плоского планшета до 9-12 м и авансцены - до 2,5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Рекомендуемая высота эстрады - 0,8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подъема на сцену, кроме лестниц, должен быть предусмотрен стационарный (мобильный)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пандус или подъемное устройство. Ширина пандуса между поручнями должна быть не менее 0,9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 уклоном 8% и бортиками по бокам. Лестницы и пандусы, ведущие на сцену, должны иметь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одной стороны ограждения с двойными поручнями на высоте 0,7/0,9 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Учреждения культуры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7.6.8 С учетом потребностей посетителей-инвалидов для музеев с выставочной площадью до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2000 м рекомендуется расположение экспозиции в одном уровне.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7.6.9 Зону постоянной экспозиции рекомендуется создавать с анфиладным или кольцевым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маршрутом движения. Тупиковая планировка нежелательна.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Пандусы следует использовать для организации последовательного движения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одновременного осмотра экспозиции.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7.6.10 При невозможности использовать визуальную информацию для инвалидов по зрению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помещениях с особыми требованиями к художественному решению интерьеров, в экспозиционных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залах художественных музеев, выставок и т.п. допускается применять другие компенсирующие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мероприятия.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7.6.11 Навесная витрина должна находиться на высоте, доступной для визуального восприятия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 кресла-коляски (низ на отметке не более 0,85 м от уровня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Горизонтальная витрина должна иметь под собой пространство для подъезда инвалида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 витрин на высоте 0,8 м необходимо устройство горизонтального поручня со скругленными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углами. Для инвалидов с дефектами зрения вокруг экспозиционного стола следует предусмотреть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предупредительную фактурную цветную полосу шириной от 0,6 до 0,8 м в уровне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7.6.12 Проходы в читальном зале библиотеки должны иметь ширину не менее 1,2 м. Размер</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рабочего места инвалида (без учета поверхности стола) должен быть 1,5 0,9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Рекомендуются принимать оптимальные габариты площади поверхности стола читателя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недостатками зрения для работы с секретарем-чтецом - 1,5 0,7 м в кабинах, полукабинах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кабинетах.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7.6.13 В зоне обслуживания лиц с недостатками зрения читательские места и стеллажи со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специальной литературой рекомендуется оборудовать добавочным освещением. Необходимо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высокий уровень естественной освещенности этой читательской зоны (КЕО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2,5%), а уровень искусственного освещения читательского стола - не менее 1000 лк.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7.6.14 Помещения для занятий кружков в клубном здании с участием инвалидов рекомендуется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проектировать не более чем на 10-12 человек, в том числе инвалидов на креслах-колясках 2-3</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человека.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7.6.15 Число мест для инвалидов на креслах-колясках в клубном зрительном зале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рекомендуется принимать по вместимости зала, не менее: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50-75 мест в зале 3</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76-100 то же 4</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101-150 " 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151-200 " 6</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201-300 " 7</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301-400 " 8</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Свыше 400 " 9</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7.6.16 В зданиях цирков допускается использовать служебные входы для доступа зрителей 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местам, расположенным на плоском полу перед первым рядом. Места для инвалидов в залах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цирков следует размещать вблизи эвакуационных люков в тех рядах, плоскость которых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находится на одном уровне с фойе. В этом случае площадь прохода должна быть увеличена не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менее чем до 2,2 м (в местах, где предполагается размещение инвалидов).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Культовые, ритуальные и мемориальные здания и сооружения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7.6.17 Архитектурная среда зданий, сооружений и комплексов культового назначения,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ритуальные объекты для всех видов торжественных церемоний, похоронные и мемориальные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объекты должны удовлетворять требованиям доступности для МГН, а также конфессиональным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требованиям в части размещения и оборудования мест обрядовых мероприятий.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7.6.18 Рекомендуется применять в зданиях и на территории информационные средства,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доступные для инвалидов, не создающие помехи световой и звуковой архитектуре ритуального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объекта или мемориала.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7.6.19 Пути движения, предназначенные для инвалидов и других МГН, не должны попадать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зоны движения религиозных и других церемониальных процессий и путей подъезда кортежей.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7.6.20 В зоне размещения сидя не менее 3% мест рекомендуется отводить для инвалидов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креслах-колясках (но не менее одного).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устройстве в культовых и обрядовых зданиях и сооружениях, а также на их участках места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омовения следует не менее одного места оборудовать для инвалидов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7.6.21 Расстояние от кромки пути движения до мест возложения цветов, венков, гирлянд,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камней, амулетов, установки икон, свечей, лампад, раздачи святой воды и т.п. не должно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превышать 0,6 м. Высота - от 0,6 до 1,2 м от уровня пола.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Ширина (фронт) подхода к месту поклонения - не менее 0,9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7.6.22 На территориях кладбищ и некрополей должен быть обеспечен доступ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 участкам погребений, к колумбариям всех видов;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 зданиям администрации, торговли, питания и бытовым зданиям для посетителей, 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общественным туалетам;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 водоразборным устройствам и чашам для полива;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 выставочным участкам;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 мемориальным объектам общественного назначения.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7.6.23 У входа на территорию кладбищ и некрополей следует предусматривать с правой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стороны по ходу движения мнемосхемы планировки кладбищ и некрополей.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путях движения по кладбищам следует не реже чем через 300 м предусматривать зоны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отдыха с местами для размещения сидя.</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29"/>
          <w:szCs w:val="29"/>
        </w:rPr>
      </w:pPr>
      <w:r>
        <w:rPr>
          <w:rFonts w:cs="Arial-BoldMT" w:ascii="Arial-BoldMT" w:hAnsi="Arial-BoldMT"/>
          <w:b/>
          <w:bCs/>
          <w:color w:val="000000"/>
          <w:sz w:val="29"/>
          <w:szCs w:val="29"/>
        </w:rPr>
        <w:t>7.7 Здания объектов по обслуживанию общества и государства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7.7.1 Общими требованиями к доступности основных групп помещений, административных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зданий, где происходит прием МГН, являются: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предпочтительное размещение их в уровне входа;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обязательное наличие справочно-информационной службы; возможное совмещение справочно-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информационной службы и кабинета дежурного приема;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 наличии помещений коллективного использования (конференц-залов, залов совещаний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т.п.) желательно их размещение не выше второго уровня (этажа).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7.7.2 В вестибюлях зданий административного назначения рекомендуется предусматривать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зону обслуживающих автоматов (телефонов, таксофонов, продаж и т.п.) и резервную площадь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киосков.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Стойка информации в вестибюлях и в зонах специализированного обслуживания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должна быть хорошо видимой со стороны входа и легко различаться слабовидящими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7.7.3 Залы судебных заведений должны быть доступны для всех категорий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 скамье присяжных должно быть предусмотрено место для инвалида на 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Места истца и адвоката, включая кафедру, должны быть доступными.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зале должно быть предусмотрено место для переводчика жестового языка, удобное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ведения перекрестного опроса всеми участниками судебного процесса.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Если предусмотрены камеры содержания под стражей при зале заседаний суда, то одна из</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камер должна быть доступна для инвалида на кресле-коляске. Такая камера может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предназначена для нескольких залов суда.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Сплошные перегородки, охранное остекление или разделительные столы, которые отделяют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посетителей от задержанных в помещениях свиданий пенитенциарных учреждений, должны иметь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 менее одного места, доступного для инвалидов, с каждой стороны.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7.7.4 Минимальный размер площади помещения (кабинета или кабины) для индивидуального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приема (на одно рабочее место) рекомендуется принимать 12 м .</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помещениях приема на несколько мест обслуживания рекомендуется делать доступными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МГН одно из мест обслуживания или несколько мест обслуживания, скомпонованных в общую зону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7.7.5 В отделе пенсионных выплат следует предусматривать переговорные устройства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возможностью двустороннего включения.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7.7.6 В зданиях учреждений и предприятий, содержащих в своем составе операционно-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кассовые залы, предназначенные для обслуживания посетителей, необходимо соблюдать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 беспрепятственной доступности МГН.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 всех зданиях кредитно-финансовых учреждений и предприятий почтовой связи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рекомендуется предусматривать установку системы организованного приема посетителей,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состоящую из аппарата, выдающего талоны с указанием очередности приема; световых табло над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дверями соответствующих кабинетов и окошек, указывающих номер очередного посетителя.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7.7.7 К помещениям банковских учреждений, в которые допуск клиентов не ограничен по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технологическим требованиям, рекомендуется относить: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кассовый блок (кассовый зал и депозитарий);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операционный блок (входная группа помещений, операционный зал и кассы);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вспомогательные и обслуживающие помещения (комнаты переговоров с клиентами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оформления кредита, вестибюль, аван-вестибюль, бюро пропусков).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7.7.8 Кроме операционно-кассового зала в зону посетительской доступности предприятий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рекомендуется включать: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вход с тамбуром (универсального типа - для всех групп посетителей);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добарьерную (посетительскую) часть отдела доставки, совмещенную при необходимости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зоной индивидуального хранения подписных изданий и корреспонденции;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переговорный пункт (с зонами кабин междугородних телефонов, в том числе автоматов,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ожидания);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пункт обмена валюты и киоски продаж (при наличии).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7.7.9 При нескольких островных (автономных) рабочих местах операционистов, одно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приспосабливается для обслуживания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7.7.10 При расчете площади офисных помещений следует учитывать площадь на одного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инвалида, использующего кресло-коляску, равную 7,65 м .</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8 Специальные требования к местам приложения труда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8.1 При проектировании помещений с местами труда инвалидов кроме данного документа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следует учитывать требования СП 44.13330 и СП 56.13330.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8.2 При проектировании зданий учреждений, организаций и предприятий следует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предусматривать рабочие места для инвалидов в соответствии с программами профессиональной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реабилитации инвалидов, разрабатываемыми местными органами социальной защиты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Число и виды рабочих мест для инвалидов (специализированные или обычные), их размещение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объемно-планировочной структуре здания (рассредоточенное или в специализированных цехах,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производственных участках и специальных помещениях), а также необходимые дополнительные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помещения устанавливаются в задании на проектирование.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8.3 Рабочие места инвалидов должны быть безопасны для здоровья, рационально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организованы. В задании на проектирование следует устанавливать их специализацию и,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необходимости, включать комплект мебели, оборудования и вспомогательных устройств,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специально приспособленных для конкретного вида инвалидности, в том числе с учетом ГОСТ Р</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51645.</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8.4 В рабочей зоне помещений должно быть обеспечено выполнение комплекса санитарно-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гигиенических требований к микроклимату в соответствии с ГОСТ 12.01.005*, а также соблюдены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дополнительные требования, устанавливаемые в зависимости от вида заболевания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________________</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Вероятно, ошибка оригинала. Следует читать: ГОСТ 12.1.005. - Примечание изготовителя базы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данных.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8.5 Расстояние до уборных, курительных, помещений для обогрева или охлаждения, полудушей,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устройств питьевого водоснабжения от рабочих мест, предназначенных для инвалидов с</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поражением опорно-двигательного аппарата и недостатками зрения, должно быть не более,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пределах зданий 60;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пределах территории учреждения, предприятия 150.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Нежелательно смежное размещение мужских и женских уборных для инвалидов по зрению.</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8.6 Индивидуальные шкафы в бытовых помещениях предприятий и учреждений должны быть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совмещенными (для хранения уличной, домашней и рабочей одежды).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8.7 Санитарно-бытовое обслуживание работающих инвалидов должно обеспечиваться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соответствии с требованиями СП 44.13330 и данного документа.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санитарно-бытовых помещениях количество кабин и устройств, необходимых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работающих на предприятии или в учреждении инвалидов с нарушением опорно-двигательного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аппарата и недостатками зрения, следует определять из расчета: не менее одной универсальной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душевой кабины на троих инвалидов, не менее одной раковины умывальника на семь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независимо от санитарной характеристики производственных процессов.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8.8 При затруднении доступа инвалидов на кресле-коляске к местам общественного питания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предприятиях и в учреждениях следует дополнительно предусматривать комнату приема пищи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площадью из расчета 1,65 м на каждого инвалида, но не менее 12 м .</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Приложение А (обязательное). Нормативные ссылки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Приложение 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(обязательное)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настоящем своде правил использованы ссылки на следующие документы: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12.4.026-2001 Система стандартов безопасности труда. Цвета сигнальные, знаки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безопасности и разметка сигнальная. Назначение и правила применения. Общие технические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 и характеристики. Методы испытаний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50602-93 Кресла-коляски. Максимальные габаритные размеры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51256-99 Технические средства организации дорожного движения. Разметка дорожная.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Типы и основные параметры. Общие технические 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51261-99 Устройства опорные стационарные реабилитационные. Типы и технические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51264-99 Средства связи, информатики и сигнализации реабилитационные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электронные. Общие технические условия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51630-2000 Платформы подъемные с вертикальным и наклонным перемещением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 Технические требования доступности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51631-2008 Лифты пассажирские. Технические требования доступности, включая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доступность для инвалидов и других маломобильных групп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51633-2000 Устройства и приспособления реабилитационные, используемые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инвалидами в жилых помещениях. Общие технические 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51645-2000 Рабочее место для инвалида по зрению типовое специальное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компьютерное. Технические требования к оборудованию и к производственной среде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51648-2000 Сигналы звуковые и осязательные, дублирующие сигналы светофора,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слепых и слепоглухих людей. Параметры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51671-2000 Средства связи и информации технические общего 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доступные для инвалидов. Классификация. Требования доступности и безопасности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52131-2003 Средства отображения информации знаковые для инвалидов. Технические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52289-2004 Технические средства организации дорожного движения. Правила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применения дорожных знаков, разметки, светофоров, дорожных ограждений и направляющих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устройств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52875-2007 Указатели тактильные наземные для инвалидов по зрению. Технические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52880-2007 Социальное обслуживание населения. Типы учреждений социального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обслуживания граждан пожилого возраста и 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53453-2009 Эргономика термальной среды. Применение требования стандартов 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людям с особыми требованиями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Р 53770-2010 Лифты пассажирские. Основные параметры и размеры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12.1.004-91* Система стандартов безопасности труда. Пожарная безопасность. Общие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21786-76 Система "человек-машина". Сигнализаторы звуковые неречевых сообщений.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Общие эргономические 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ГОСТ 53998-2010* Туристские услуги. Услуги туризма для людей с ограниченными физическими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возможностями. Общие требования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________________</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Вероятно, ошибка оригинала. Следует читать: ГОСТ Р 53998-2010. - Примечание изготовителя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базы данных.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1.13130.2009 "Системы противопожарной защиты. Эвакуационные пути и выходы"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42.13330.2011 "СНиП 2.07.01-89 Градостроительство. Планировка и застройка городских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сельских поселений"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44.13330.2011 "СНиП 2.09.04-87* Административные и бытовые здания"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52.13330.2011 "СНиП 23-05-95 Естественное и искусственное освещение"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54.13330.2011 "СНиП 31-01-2003 Здания жилые многоквартирные"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56.13330.2011 "СНиП 31-03-2001 Производственные здания"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59.13330.2012 "СНиП 35-01-2001 Доступность зданий и сооружений для маломобильных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групп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113.13330.2012 "СНиП 21.02-99* Стоянки автомобилей"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 118.13330.2012 "СНиП 31-06-2009 Общественные здания и сооружения"</w:t>
      </w:r>
    </w:p>
    <w:p>
      <w:pPr>
        <w:pStyle w:val="Normal"/>
        <w:spacing w:lineRule="auto" w:line="240" w:before="0" w:after="0"/>
        <w:rPr>
          <w:rFonts w:ascii="ArialMT" w:hAnsi="ArialMT" w:cs="ArialMT"/>
          <w:color w:val="FFFFFF"/>
          <w:sz w:val="25"/>
          <w:szCs w:val="25"/>
        </w:rPr>
      </w:pPr>
      <w:r>
        <w:rPr>
          <w:rFonts w:cs="ArialMT" w:ascii="ArialMT" w:hAnsi="ArialMT"/>
          <w:color w:val="FFFFFF"/>
          <w:sz w:val="25"/>
          <w:szCs w:val="25"/>
        </w:rPr>
        <w:t>якорь</w:t>
      </w:r>
    </w:p>
    <w:p>
      <w:pPr>
        <w:pStyle w:val="Normal"/>
        <w:spacing w:lineRule="auto" w:line="240" w:before="0" w:after="0"/>
        <w:rPr>
          <w:rFonts w:ascii="ArialMT" w:hAnsi="ArialMT" w:cs="ArialMT"/>
          <w:color w:val="000000"/>
          <w:sz w:val="23"/>
          <w:szCs w:val="23"/>
        </w:rPr>
      </w:pPr>
      <w:r>
        <w:rPr>
          <w:rFonts w:cs="Arial-BoldMT" w:ascii="Arial-BoldMT" w:hAnsi="Arial-BoldMT"/>
          <w:b/>
          <w:bCs/>
          <w:color w:val="000000"/>
          <w:sz w:val="37"/>
          <w:szCs w:val="37"/>
        </w:rPr>
        <w:t xml:space="preserve">Приложение </w:t>
      </w:r>
      <w:r>
        <w:rPr>
          <w:rFonts w:cs="ArialMT" w:ascii="ArialMT" w:hAnsi="ArialMT"/>
          <w:color w:val="000000"/>
          <w:sz w:val="23"/>
          <w:szCs w:val="23"/>
        </w:rPr>
        <w:t>____________Б (справочное). Термины и определения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Приложение Б</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(справочное)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 настоящем документе применены следующие термины с соответствующими определениями: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 </w:t>
      </w:r>
      <w:r>
        <w:rPr>
          <w:rFonts w:cs="Arial-BoldMT" w:ascii="Arial-BoldMT" w:hAnsi="Arial-BoldMT"/>
          <w:b/>
          <w:bCs/>
          <w:color w:val="000000"/>
          <w:sz w:val="23"/>
          <w:szCs w:val="23"/>
        </w:rPr>
        <w:t xml:space="preserve">адаптация: </w:t>
      </w:r>
      <w:r>
        <w:rPr>
          <w:rFonts w:cs="ArialMT" w:ascii="ArialMT" w:hAnsi="ArialMT"/>
          <w:color w:val="000000"/>
          <w:sz w:val="23"/>
          <w:szCs w:val="23"/>
        </w:rPr>
        <w:t>Приспособление к новым условиям, здесь: Приспособление среды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жизнедеятельности, зданий и сооружений с учетом потребностей маломобильных групп населения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 </w:t>
      </w:r>
      <w:r>
        <w:rPr>
          <w:rFonts w:cs="Arial-BoldMT" w:ascii="Arial-BoldMT" w:hAnsi="Arial-BoldMT"/>
          <w:b/>
          <w:bCs/>
          <w:color w:val="000000"/>
          <w:sz w:val="23"/>
          <w:szCs w:val="23"/>
        </w:rPr>
        <w:t xml:space="preserve">аппарель </w:t>
      </w:r>
      <w:r>
        <w:rPr>
          <w:rFonts w:cs="ArialMT" w:ascii="ArialMT" w:hAnsi="ArialMT"/>
          <w:color w:val="000000"/>
          <w:sz w:val="23"/>
          <w:szCs w:val="23"/>
        </w:rPr>
        <w:t>(здесь): Накладная конструкция на лестничный марш или через препятствие для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проезда инвалида на 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 </w:t>
      </w:r>
      <w:r>
        <w:rPr>
          <w:rFonts w:cs="Arial-BoldMT" w:ascii="Arial-BoldMT" w:hAnsi="Arial-BoldMT"/>
          <w:b/>
          <w:bCs/>
          <w:color w:val="000000"/>
          <w:sz w:val="23"/>
          <w:szCs w:val="23"/>
        </w:rPr>
        <w:t xml:space="preserve">благоустройство участка (территории) </w:t>
      </w:r>
      <w:r>
        <w:rPr>
          <w:rFonts w:cs="ArialMT" w:ascii="ArialMT" w:hAnsi="ArialMT"/>
          <w:color w:val="000000"/>
          <w:sz w:val="23"/>
          <w:szCs w:val="23"/>
        </w:rPr>
        <w:t>(здесь): Комплекс мероприятий, обеспечивающих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доступность маломобильных посетителей и включающий: создание искусственного ландшафта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(озеленение), мощение дорожек для пешеходов и проезжей части, устройство наружного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освещения, создание зон отдыха, спорта и развлечений на участке, а также информационное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обеспечение посетителей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Б.4 </w:t>
      </w:r>
      <w:r>
        <w:rPr>
          <w:rFonts w:cs="Arial-BoldMT" w:ascii="Arial-BoldMT" w:hAnsi="Arial-BoldMT"/>
          <w:b/>
          <w:bCs/>
          <w:color w:val="000000"/>
          <w:sz w:val="23"/>
          <w:szCs w:val="23"/>
        </w:rPr>
        <w:t xml:space="preserve">бордюр: </w:t>
      </w:r>
      <w:r>
        <w:rPr>
          <w:rFonts w:cs="ArialMT" w:ascii="ArialMT" w:hAnsi="ArialMT"/>
          <w:color w:val="000000"/>
          <w:sz w:val="23"/>
          <w:szCs w:val="23"/>
        </w:rPr>
        <w:t>Ограждение путей движения и пространств однородными элементами малой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высоты, совмещающее функции по критериям безопасности и информативности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Б.5 </w:t>
      </w:r>
      <w:r>
        <w:rPr>
          <w:rFonts w:cs="Arial-BoldMT" w:ascii="Arial-BoldMT" w:hAnsi="Arial-BoldMT"/>
          <w:b/>
          <w:bCs/>
          <w:color w:val="000000"/>
          <w:sz w:val="23"/>
          <w:szCs w:val="23"/>
        </w:rPr>
        <w:t xml:space="preserve">визуальные средства информации </w:t>
      </w:r>
      <w:r>
        <w:rPr>
          <w:rFonts w:cs="ArialMT" w:ascii="ArialMT" w:hAnsi="ArialMT"/>
          <w:color w:val="000000"/>
          <w:sz w:val="23"/>
          <w:szCs w:val="23"/>
        </w:rPr>
        <w:t>(здесь): Носители информации, передаваемой людям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 нарушением функций органов слуха в виде зрительно различимых текстов, знаков, символов,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световых сигналов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Б.6 </w:t>
      </w:r>
      <w:r>
        <w:rPr>
          <w:rFonts w:cs="Arial-BoldMT" w:ascii="Arial-BoldMT" w:hAnsi="Arial-BoldMT"/>
          <w:b/>
          <w:bCs/>
          <w:color w:val="000000"/>
          <w:sz w:val="23"/>
          <w:szCs w:val="23"/>
        </w:rPr>
        <w:t xml:space="preserve">вход адаптированный </w:t>
      </w:r>
      <w:r>
        <w:rPr>
          <w:rFonts w:cs="ArialMT" w:ascii="ArialMT" w:hAnsi="ArialMT"/>
          <w:color w:val="000000"/>
          <w:sz w:val="23"/>
          <w:szCs w:val="23"/>
        </w:rPr>
        <w:t>(здесь): Вход, приспособленный для прохода маломобильных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посетителей, в том числе на креслах-колясках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Б.7 </w:t>
      </w:r>
      <w:r>
        <w:rPr>
          <w:rFonts w:cs="Arial-BoldMT" w:ascii="Arial-BoldMT" w:hAnsi="Arial-BoldMT"/>
          <w:b/>
          <w:bCs/>
          <w:color w:val="000000"/>
          <w:sz w:val="23"/>
          <w:szCs w:val="23"/>
        </w:rPr>
        <w:t xml:space="preserve">габариты </w:t>
      </w:r>
      <w:r>
        <w:rPr>
          <w:rFonts w:cs="ArialMT" w:ascii="ArialMT" w:hAnsi="ArialMT"/>
          <w:color w:val="000000"/>
          <w:sz w:val="23"/>
          <w:szCs w:val="23"/>
        </w:rPr>
        <w:t>(здесь): Внутренние ("в свету") и наружные ("в чистоте") размеры элементов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архитектурной среды (предметов и пространств) по их крайним выступающим частям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Б.8 </w:t>
      </w:r>
      <w:r>
        <w:rPr>
          <w:rFonts w:cs="Arial-BoldMT" w:ascii="Arial-BoldMT" w:hAnsi="Arial-BoldMT"/>
          <w:b/>
          <w:bCs/>
          <w:color w:val="000000"/>
          <w:sz w:val="23"/>
          <w:szCs w:val="23"/>
        </w:rPr>
        <w:t xml:space="preserve">доступная кабина уборной </w:t>
      </w:r>
      <w:r>
        <w:rPr>
          <w:rFonts w:cs="ArialMT" w:ascii="ArialMT" w:hAnsi="ArialMT"/>
          <w:color w:val="000000"/>
          <w:sz w:val="23"/>
          <w:szCs w:val="23"/>
        </w:rPr>
        <w:t>(здесь): Индивидуальная кабина дли инвалида на кресле-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коляске или слепого, оборудованная только унитазом и размещаемая в блоке других кабин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Б.9 </w:t>
      </w:r>
      <w:r>
        <w:rPr>
          <w:rFonts w:cs="Arial-BoldMT" w:ascii="Arial-BoldMT" w:hAnsi="Arial-BoldMT"/>
          <w:b/>
          <w:bCs/>
          <w:color w:val="000000"/>
          <w:sz w:val="23"/>
          <w:szCs w:val="23"/>
        </w:rPr>
        <w:t xml:space="preserve">доступные для МГН здания и сооружения: </w:t>
      </w:r>
      <w:r>
        <w:rPr>
          <w:rFonts w:cs="ArialMT" w:ascii="ArialMT" w:hAnsi="ArialMT"/>
          <w:color w:val="000000"/>
          <w:sz w:val="23"/>
          <w:szCs w:val="23"/>
        </w:rPr>
        <w:t>Здания и сооружения, в которых реализован</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комплекс архитектурно-планировочных, инженерно-технических, эргономических, конструкционных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 организационных мероприятий, отвечающих нормативным требованиям обеспечения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доступности и безопасности МГН этих зданий и сооружений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Б.10 </w:t>
      </w:r>
      <w:r>
        <w:rPr>
          <w:rFonts w:cs="Arial-BoldMT" w:ascii="Arial-BoldMT" w:hAnsi="Arial-BoldMT"/>
          <w:b/>
          <w:bCs/>
          <w:color w:val="000000"/>
          <w:sz w:val="23"/>
          <w:szCs w:val="23"/>
        </w:rPr>
        <w:t xml:space="preserve">доступный маршрут движения: </w:t>
      </w:r>
      <w:r>
        <w:rPr>
          <w:rFonts w:cs="ArialMT" w:ascii="ArialMT" w:hAnsi="ArialMT"/>
          <w:color w:val="000000"/>
          <w:sz w:val="23"/>
          <w:szCs w:val="23"/>
        </w:rPr>
        <w:t>Помещения, места обслуживания, позволяющие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беспрепятственно достичь места и воспользоваться услугой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Б.11 </w:t>
      </w:r>
      <w:r>
        <w:rPr>
          <w:rFonts w:cs="Arial-BoldMT" w:ascii="Arial-BoldMT" w:hAnsi="Arial-BoldMT"/>
          <w:b/>
          <w:bCs/>
          <w:color w:val="000000"/>
          <w:sz w:val="23"/>
          <w:szCs w:val="23"/>
        </w:rPr>
        <w:t xml:space="preserve">досягаемость: </w:t>
      </w:r>
      <w:r>
        <w:rPr>
          <w:rFonts w:cs="ArialMT" w:ascii="ArialMT" w:hAnsi="ArialMT"/>
          <w:color w:val="000000"/>
          <w:sz w:val="23"/>
          <w:szCs w:val="23"/>
        </w:rPr>
        <w:t>Свойство мест обслуживания, имеющих параметры, обеспечивающие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возможность воспользоваться, дотянуться до предмета, объекта 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Б.12 </w:t>
      </w:r>
      <w:r>
        <w:rPr>
          <w:rFonts w:cs="Arial-BoldMT" w:ascii="Arial-BoldMT" w:hAnsi="Arial-BoldMT"/>
          <w:b/>
          <w:bCs/>
          <w:color w:val="000000"/>
          <w:sz w:val="23"/>
          <w:szCs w:val="23"/>
        </w:rPr>
        <w:t xml:space="preserve">зона безопасности: </w:t>
      </w:r>
      <w:r>
        <w:rPr>
          <w:rFonts w:cs="ArialMT" w:ascii="ArialMT" w:hAnsi="ArialMT"/>
          <w:color w:val="000000"/>
          <w:sz w:val="23"/>
          <w:szCs w:val="23"/>
        </w:rPr>
        <w:t>Часть здания, сооружения - изолированное помещение для защиты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людей с ограниченными возможностями передвижения, не успевших эвакуироваться за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необходимое время, от опасных факторов экстремальных явлений, (таких как пожар,</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землетрясение и т.д.) в течение времени до завершения спасательных работ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Б.13 </w:t>
      </w:r>
      <w:r>
        <w:rPr>
          <w:rFonts w:cs="Arial-BoldMT" w:ascii="Arial-BoldMT" w:hAnsi="Arial-BoldMT"/>
          <w:b/>
          <w:bCs/>
          <w:color w:val="000000"/>
          <w:sz w:val="23"/>
          <w:szCs w:val="23"/>
        </w:rPr>
        <w:t xml:space="preserve">зона предоставления услуг (обслуживания): </w:t>
      </w:r>
      <w:r>
        <w:rPr>
          <w:rFonts w:cs="ArialMT" w:ascii="ArialMT" w:hAnsi="ArialMT"/>
          <w:color w:val="000000"/>
          <w:sz w:val="23"/>
          <w:szCs w:val="23"/>
        </w:rPr>
        <w:t>Совокупность мест обслуживания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помещении или на участке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Б.14 </w:t>
      </w:r>
      <w:r>
        <w:rPr>
          <w:rFonts w:cs="Arial-BoldMT" w:ascii="Arial-BoldMT" w:hAnsi="Arial-BoldMT"/>
          <w:b/>
          <w:bCs/>
          <w:color w:val="000000"/>
          <w:sz w:val="23"/>
          <w:szCs w:val="23"/>
        </w:rPr>
        <w:t xml:space="preserve">инвалид по зрению: </w:t>
      </w:r>
      <w:r>
        <w:rPr>
          <w:rFonts w:cs="ArialMT" w:ascii="ArialMT" w:hAnsi="ArialMT"/>
          <w:color w:val="000000"/>
          <w:sz w:val="23"/>
          <w:szCs w:val="23"/>
        </w:rPr>
        <w:t>Гражданин, у которого полностью отсутствует зрение или острота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остаточного зрения не превышает 10%, или поле зрения составляет не более 20%</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Б.15 </w:t>
      </w:r>
      <w:r>
        <w:rPr>
          <w:rFonts w:cs="Arial-BoldMT" w:ascii="Arial-BoldMT" w:hAnsi="Arial-BoldMT"/>
          <w:b/>
          <w:bCs/>
          <w:color w:val="000000"/>
          <w:sz w:val="23"/>
          <w:szCs w:val="23"/>
        </w:rPr>
        <w:t xml:space="preserve">инвалид: </w:t>
      </w:r>
      <w:r>
        <w:rPr>
          <w:rFonts w:cs="ArialMT" w:ascii="ArialMT" w:hAnsi="ArialMT"/>
          <w:color w:val="000000"/>
          <w:sz w:val="23"/>
          <w:szCs w:val="23"/>
        </w:rPr>
        <w:t>Человек, имеющий нарушение здоровья со стойким расстройством функций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организма, в том числе с поражением опорно-двигательного аппарата, недостатками зрения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дефектами слуха, приводящее к ограничению жизнедеятельности и вызывающее необходимость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его социальной защиты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Б.16 </w:t>
      </w:r>
      <w:r>
        <w:rPr>
          <w:rFonts w:cs="Arial-BoldMT" w:ascii="Arial-BoldMT" w:hAnsi="Arial-BoldMT"/>
          <w:b/>
          <w:bCs/>
          <w:color w:val="000000"/>
          <w:sz w:val="23"/>
          <w:szCs w:val="23"/>
        </w:rPr>
        <w:t xml:space="preserve">карман </w:t>
      </w:r>
      <w:r>
        <w:rPr>
          <w:rFonts w:cs="ArialMT" w:ascii="ArialMT" w:hAnsi="ArialMT"/>
          <w:color w:val="000000"/>
          <w:sz w:val="23"/>
          <w:szCs w:val="23"/>
        </w:rPr>
        <w:t>(здесь): Ниша, пространство, примыкающее к границе помещения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коммуникационного пути вне их пределов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Б.17 </w:t>
      </w:r>
      <w:r>
        <w:rPr>
          <w:rFonts w:cs="Arial-BoldMT" w:ascii="Arial-BoldMT" w:hAnsi="Arial-BoldMT"/>
          <w:b/>
          <w:bCs/>
          <w:color w:val="000000"/>
          <w:sz w:val="23"/>
          <w:szCs w:val="23"/>
        </w:rPr>
        <w:t xml:space="preserve">лифтовой холл: </w:t>
      </w:r>
      <w:r>
        <w:rPr>
          <w:rFonts w:cs="ArialMT" w:ascii="ArialMT" w:hAnsi="ArialMT"/>
          <w:color w:val="000000"/>
          <w:sz w:val="23"/>
          <w:szCs w:val="23"/>
        </w:rPr>
        <w:t>Специальное помещение, располагаемое у входа в лифт, ограниченное,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как правило, дверями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Б.18 </w:t>
      </w:r>
      <w:r>
        <w:rPr>
          <w:rFonts w:cs="Arial-BoldMT" w:ascii="Arial-BoldMT" w:hAnsi="Arial-BoldMT"/>
          <w:b/>
          <w:bCs/>
          <w:color w:val="000000"/>
          <w:sz w:val="23"/>
          <w:szCs w:val="23"/>
        </w:rPr>
        <w:t xml:space="preserve">маломобильные группы населения (МГН): </w:t>
      </w:r>
      <w:r>
        <w:rPr>
          <w:rFonts w:cs="ArialMT" w:ascii="ArialMT" w:hAnsi="ArialMT"/>
          <w:color w:val="000000"/>
          <w:sz w:val="23"/>
          <w:szCs w:val="23"/>
        </w:rPr>
        <w:t>Люди, испытывающие затруднения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самостоятельном передвижении, получении услуги, необходимой информации или при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ориентировании в пространстве. К маломобильным группам населения здесь отнесены: инвалиды,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люди с временным нарушением здоровья, беременные женщины, люди преклонного возраста,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люди с детскими колясками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Б.19 </w:t>
      </w:r>
      <w:r>
        <w:rPr>
          <w:rFonts w:cs="Arial-BoldMT" w:ascii="Arial-BoldMT" w:hAnsi="Arial-BoldMT"/>
          <w:b/>
          <w:bCs/>
          <w:color w:val="000000"/>
          <w:sz w:val="23"/>
          <w:szCs w:val="23"/>
        </w:rPr>
        <w:t xml:space="preserve">места обслуживания </w:t>
      </w:r>
      <w:r>
        <w:rPr>
          <w:rFonts w:cs="ArialMT" w:ascii="ArialMT" w:hAnsi="ArialMT"/>
          <w:color w:val="000000"/>
          <w:sz w:val="23"/>
          <w:szCs w:val="23"/>
        </w:rPr>
        <w:t>(здесь): Части зданий, сооружений, помещений, зон, организованные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 оборудованные для оказания услуг посетителю. Включают в себя рабочее место, место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обслуживаемого, возможно - место ожидания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Б.20 </w:t>
      </w:r>
      <w:r>
        <w:rPr>
          <w:rFonts w:cs="Arial-BoldMT" w:ascii="Arial-BoldMT" w:hAnsi="Arial-BoldMT"/>
          <w:b/>
          <w:bCs/>
          <w:color w:val="000000"/>
          <w:sz w:val="23"/>
          <w:szCs w:val="23"/>
        </w:rPr>
        <w:t xml:space="preserve">ограждение: </w:t>
      </w:r>
      <w:r>
        <w:rPr>
          <w:rFonts w:cs="ArialMT" w:ascii="ArialMT" w:hAnsi="ArialMT"/>
          <w:color w:val="000000"/>
          <w:sz w:val="23"/>
          <w:szCs w:val="23"/>
        </w:rPr>
        <w:t>Строительная конструкция, устанавливаемая на перепаде отметок</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пешеходных поверхностей, пола более 0,45 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Б.21 </w:t>
      </w:r>
      <w:r>
        <w:rPr>
          <w:rFonts w:cs="Arial-BoldMT" w:ascii="Arial-BoldMT" w:hAnsi="Arial-BoldMT"/>
          <w:b/>
          <w:bCs/>
          <w:color w:val="000000"/>
          <w:sz w:val="23"/>
          <w:szCs w:val="23"/>
        </w:rPr>
        <w:t xml:space="preserve">пандус: </w:t>
      </w:r>
      <w:r>
        <w:rPr>
          <w:rFonts w:cs="ArialMT" w:ascii="ArialMT" w:hAnsi="ArialMT"/>
          <w:color w:val="000000"/>
          <w:sz w:val="23"/>
          <w:szCs w:val="23"/>
        </w:rPr>
        <w:t>____________Сооружение, имеющее сплошную наклонную по направлению движения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поверхность, предназначенное для перемещения с одного уровня горизонтальной поверхности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пути на другой, в том числе на кресле-коляске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Б.22 </w:t>
      </w:r>
      <w:r>
        <w:rPr>
          <w:rFonts w:cs="Arial-BoldMT" w:ascii="Arial-BoldMT" w:hAnsi="Arial-BoldMT"/>
          <w:b/>
          <w:bCs/>
          <w:color w:val="000000"/>
          <w:sz w:val="23"/>
          <w:szCs w:val="23"/>
        </w:rPr>
        <w:t xml:space="preserve">пандус бордюрный: </w:t>
      </w:r>
      <w:r>
        <w:rPr>
          <w:rFonts w:cs="ArialMT" w:ascii="ArialMT" w:hAnsi="ArialMT"/>
          <w:color w:val="000000"/>
          <w:sz w:val="23"/>
          <w:szCs w:val="23"/>
        </w:rPr>
        <w:t>Сооружение, предназначенное для спуска с тротуара на полотно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дороги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Б.23 </w:t>
      </w:r>
      <w:r>
        <w:rPr>
          <w:rFonts w:cs="Arial-BoldMT" w:ascii="Arial-BoldMT" w:hAnsi="Arial-BoldMT"/>
          <w:b/>
          <w:bCs/>
          <w:color w:val="000000"/>
          <w:sz w:val="23"/>
          <w:szCs w:val="23"/>
        </w:rPr>
        <w:t xml:space="preserve">пандус инвентарный: </w:t>
      </w:r>
      <w:r>
        <w:rPr>
          <w:rFonts w:cs="ArialMT" w:ascii="ArialMT" w:hAnsi="ArialMT"/>
          <w:color w:val="000000"/>
          <w:sz w:val="23"/>
          <w:szCs w:val="23"/>
        </w:rPr>
        <w:t>Сооружение временного или эпизодического использования,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например сборно-разборный, откидной, выдвижной и т.д.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Б.24 </w:t>
      </w:r>
      <w:r>
        <w:rPr>
          <w:rFonts w:cs="Arial-BoldMT" w:ascii="Arial-BoldMT" w:hAnsi="Arial-BoldMT"/>
          <w:b/>
          <w:bCs/>
          <w:color w:val="000000"/>
          <w:sz w:val="23"/>
          <w:szCs w:val="23"/>
        </w:rPr>
        <w:t xml:space="preserve">переводчик жестового языка (сурдопереводчик): </w:t>
      </w:r>
      <w:r>
        <w:rPr>
          <w:rFonts w:cs="ArialMT" w:ascii="ArialMT" w:hAnsi="ArialMT"/>
          <w:color w:val="000000"/>
          <w:sz w:val="23"/>
          <w:szCs w:val="23"/>
        </w:rPr>
        <w:t>Специалист, осуществляющий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перевод звуковой информации на язык жестов для глухонемых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Б.25 </w:t>
      </w:r>
      <w:r>
        <w:rPr>
          <w:rFonts w:cs="Arial-BoldMT" w:ascii="Arial-BoldMT" w:hAnsi="Arial-BoldMT"/>
          <w:b/>
          <w:bCs/>
          <w:color w:val="000000"/>
          <w:sz w:val="23"/>
          <w:szCs w:val="23"/>
        </w:rPr>
        <w:t xml:space="preserve">пиктограмма: </w:t>
      </w:r>
      <w:r>
        <w:rPr>
          <w:rFonts w:cs="ArialMT" w:ascii="ArialMT" w:hAnsi="ArialMT"/>
          <w:color w:val="000000"/>
          <w:sz w:val="23"/>
          <w:szCs w:val="23"/>
        </w:rPr>
        <w:t>Символическое изображение вида деятельности, указания действия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назначения помещения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Б.26 </w:t>
      </w:r>
      <w:r>
        <w:rPr>
          <w:rFonts w:cs="Arial-BoldMT" w:ascii="Arial-BoldMT" w:hAnsi="Arial-BoldMT"/>
          <w:b/>
          <w:bCs/>
          <w:color w:val="000000"/>
          <w:sz w:val="23"/>
          <w:szCs w:val="23"/>
        </w:rPr>
        <w:t xml:space="preserve">платформа подъемная: </w:t>
      </w:r>
      <w:r>
        <w:rPr>
          <w:rFonts w:cs="ArialMT" w:ascii="ArialMT" w:hAnsi="ArialMT"/>
          <w:color w:val="000000"/>
          <w:sz w:val="23"/>
          <w:szCs w:val="23"/>
        </w:rPr>
        <w:t>Грузоподъемная машина периодического действия для подъема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 спуска пользователей, размещающихся на грузонесущем устройстве, которое перемещается по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вертикальной или наклонной траектории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Б.27 </w:t>
      </w:r>
      <w:r>
        <w:rPr>
          <w:rFonts w:cs="Arial-BoldMT" w:ascii="Arial-BoldMT" w:hAnsi="Arial-BoldMT"/>
          <w:b/>
          <w:bCs/>
          <w:color w:val="000000"/>
          <w:sz w:val="23"/>
          <w:szCs w:val="23"/>
        </w:rPr>
        <w:t xml:space="preserve">подъем: </w:t>
      </w:r>
      <w:r>
        <w:rPr>
          <w:rFonts w:cs="ArialMT" w:ascii="ArialMT" w:hAnsi="ArialMT"/>
          <w:color w:val="000000"/>
          <w:sz w:val="23"/>
          <w:szCs w:val="23"/>
        </w:rPr>
        <w:t>Разность уровней (вертикальный размер) между ближайшими горизонтальными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плоскостями наклонного пути движения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Б.28 </w:t>
      </w:r>
      <w:r>
        <w:rPr>
          <w:rFonts w:cs="Arial-BoldMT" w:ascii="Arial-BoldMT" w:hAnsi="Arial-BoldMT"/>
          <w:b/>
          <w:bCs/>
          <w:color w:val="000000"/>
          <w:sz w:val="23"/>
          <w:szCs w:val="23"/>
        </w:rPr>
        <w:t xml:space="preserve">пожаробезопасная зона: </w:t>
      </w:r>
      <w:r>
        <w:rPr>
          <w:rFonts w:cs="ArialMT" w:ascii="ArialMT" w:hAnsi="ArialMT"/>
          <w:color w:val="000000"/>
          <w:sz w:val="23"/>
          <w:szCs w:val="23"/>
        </w:rPr>
        <w:t>Часть здания, сооружения, пожарного отсека, выделенная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противопожарными преградами для защиты людей от опасных факторов пожара в течение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заданного времени (от момента возникновения пожара до завершения спасательных работ),</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обеспеченная комплексом мероприятий для проведения эвакуации и спасания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Б.29 </w:t>
      </w:r>
      <w:r>
        <w:rPr>
          <w:rFonts w:cs="Arial-BoldMT" w:ascii="Arial-BoldMT" w:hAnsi="Arial-BoldMT"/>
          <w:b/>
          <w:bCs/>
          <w:color w:val="000000"/>
          <w:sz w:val="23"/>
          <w:szCs w:val="23"/>
        </w:rPr>
        <w:t xml:space="preserve">полоса движения: </w:t>
      </w:r>
      <w:r>
        <w:rPr>
          <w:rFonts w:cs="ArialMT" w:ascii="ArialMT" w:hAnsi="ArialMT"/>
          <w:color w:val="000000"/>
          <w:sz w:val="23"/>
          <w:szCs w:val="23"/>
        </w:rPr>
        <w:t>Часть пешеходного пути, предназначенная для движения в один ряд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одном направлении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Б.30 </w:t>
      </w:r>
      <w:r>
        <w:rPr>
          <w:rFonts w:cs="Arial-BoldMT" w:ascii="Arial-BoldMT" w:hAnsi="Arial-BoldMT"/>
          <w:b/>
          <w:bCs/>
          <w:color w:val="000000"/>
          <w:sz w:val="23"/>
          <w:szCs w:val="23"/>
        </w:rPr>
        <w:t xml:space="preserve">помещение индивидуального обслуживания: </w:t>
      </w:r>
      <w:r>
        <w:rPr>
          <w:rFonts w:cs="ArialMT" w:ascii="ArialMT" w:hAnsi="ArialMT"/>
          <w:color w:val="000000"/>
          <w:sz w:val="23"/>
          <w:szCs w:val="23"/>
        </w:rPr>
        <w:t>Кабина или кабинет, где осуществляется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самообслуживание или обслуживание маломобильного посетителя персоналом учреждения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(предприятия). Габариты кабины (кабинета) должны учитывать, как правило, возможность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размещения и сопровождающего лица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Б.31 </w:t>
      </w:r>
      <w:r>
        <w:rPr>
          <w:rFonts w:cs="Arial-BoldMT" w:ascii="Arial-BoldMT" w:hAnsi="Arial-BoldMT"/>
          <w:b/>
          <w:bCs/>
          <w:color w:val="000000"/>
          <w:sz w:val="23"/>
          <w:szCs w:val="23"/>
        </w:rPr>
        <w:t xml:space="preserve">поперечный уклон: </w:t>
      </w:r>
      <w:r>
        <w:rPr>
          <w:rFonts w:cs="ArialMT" w:ascii="ArialMT" w:hAnsi="ArialMT"/>
          <w:color w:val="000000"/>
          <w:sz w:val="23"/>
          <w:szCs w:val="23"/>
        </w:rPr>
        <w:t>Уклон поверхности, перпендикулярный направлению движения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Б.32 </w:t>
      </w:r>
      <w:r>
        <w:rPr>
          <w:rFonts w:cs="Arial-BoldMT" w:ascii="Arial-BoldMT" w:hAnsi="Arial-BoldMT"/>
          <w:b/>
          <w:bCs/>
          <w:color w:val="000000"/>
          <w:sz w:val="23"/>
          <w:szCs w:val="23"/>
        </w:rPr>
        <w:t xml:space="preserve">поручень: </w:t>
      </w:r>
      <w:r>
        <w:rPr>
          <w:rFonts w:cs="ArialMT" w:ascii="ArialMT" w:hAnsi="ArialMT"/>
          <w:color w:val="000000"/>
          <w:sz w:val="23"/>
          <w:szCs w:val="23"/>
        </w:rPr>
        <w:t>Компонент лестницы или пандуса, который задает направление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обеспечивает поддержку на уровне руки при движении. </w:t>
      </w:r>
      <w:r>
        <w:rPr>
          <w:rFonts w:cs="Arial-ItalicMT" w:ascii="Arial-ItalicMT" w:hAnsi="Arial-ItalicMT"/>
          <w:i/>
          <w:iCs/>
          <w:color w:val="000000"/>
          <w:sz w:val="23"/>
          <w:szCs w:val="23"/>
        </w:rPr>
        <w:t xml:space="preserve">Примечание </w:t>
      </w:r>
      <w:r>
        <w:rPr>
          <w:rFonts w:cs="ArialMT" w:ascii="ArialMT" w:hAnsi="ArialMT"/>
          <w:color w:val="000000"/>
          <w:sz w:val="23"/>
          <w:szCs w:val="23"/>
        </w:rPr>
        <w:t>- поручень может быть верхом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ограждения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Б.33 </w:t>
      </w:r>
      <w:r>
        <w:rPr>
          <w:rFonts w:cs="Arial-BoldMT" w:ascii="Arial-BoldMT" w:hAnsi="Arial-BoldMT"/>
          <w:b/>
          <w:bCs/>
          <w:color w:val="000000"/>
          <w:sz w:val="23"/>
          <w:szCs w:val="23"/>
        </w:rPr>
        <w:t xml:space="preserve">придомовая </w:t>
      </w:r>
      <w:r>
        <w:rPr>
          <w:rFonts w:cs="ArialMT" w:ascii="ArialMT" w:hAnsi="ArialMT"/>
          <w:color w:val="000000"/>
          <w:sz w:val="23"/>
          <w:szCs w:val="23"/>
        </w:rPr>
        <w:t>____________территория: Участок около жилого многоквартирного здания, включающий</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пешеходные пути ко входам, подъезды к дому и площадки для жильцов данного дома - детские,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спортивные, для отдыха, для контейнеров, для выгула собак и т.п.</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Б.34 </w:t>
      </w:r>
      <w:r>
        <w:rPr>
          <w:rFonts w:cs="Arial-BoldMT" w:ascii="Arial-BoldMT" w:hAnsi="Arial-BoldMT"/>
          <w:b/>
          <w:bCs/>
          <w:color w:val="000000"/>
          <w:sz w:val="23"/>
          <w:szCs w:val="23"/>
        </w:rPr>
        <w:t xml:space="preserve">продольный уклон: </w:t>
      </w:r>
      <w:r>
        <w:rPr>
          <w:rFonts w:cs="ArialMT" w:ascii="ArialMT" w:hAnsi="ArialMT"/>
          <w:color w:val="000000"/>
          <w:sz w:val="23"/>
          <w:szCs w:val="23"/>
        </w:rPr>
        <w:t>Уклон поверхности, параллельный направлению движения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Б.35 </w:t>
      </w:r>
      <w:r>
        <w:rPr>
          <w:rFonts w:cs="Arial-BoldMT" w:ascii="Arial-BoldMT" w:hAnsi="Arial-BoldMT"/>
          <w:b/>
          <w:bCs/>
          <w:color w:val="000000"/>
          <w:sz w:val="23"/>
          <w:szCs w:val="23"/>
        </w:rPr>
        <w:t xml:space="preserve">проход: </w:t>
      </w:r>
      <w:r>
        <w:rPr>
          <w:rFonts w:cs="ArialMT" w:ascii="ArialMT" w:hAnsi="ArialMT"/>
          <w:color w:val="000000"/>
          <w:sz w:val="23"/>
          <w:szCs w:val="23"/>
        </w:rPr>
        <w:t>пешеходное пространство между конструктивными и (или) функциональными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элементами (оборудованием)</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Б.36 </w:t>
      </w:r>
      <w:r>
        <w:rPr>
          <w:rFonts w:cs="Arial-BoldMT" w:ascii="Arial-BoldMT" w:hAnsi="Arial-BoldMT"/>
          <w:b/>
          <w:bCs/>
          <w:color w:val="000000"/>
          <w:sz w:val="23"/>
          <w:szCs w:val="23"/>
        </w:rPr>
        <w:t xml:space="preserve">путь движения: </w:t>
      </w:r>
      <w:r>
        <w:rPr>
          <w:rFonts w:cs="ArialMT" w:ascii="ArialMT" w:hAnsi="ArialMT"/>
          <w:color w:val="000000"/>
          <w:sz w:val="23"/>
          <w:szCs w:val="23"/>
        </w:rPr>
        <w:t>Пешеходный путь, используемый МГН, в том числе инвалидами на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креслах-колясках, для перемещения по участку (дорожки, тротуары, пандусы и т.д.), а также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внутри зданий и сооружений (горизонтальные и вертикальные коммуникации)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Б.37 </w:t>
      </w:r>
      <w:r>
        <w:rPr>
          <w:rFonts w:cs="Arial-BoldMT" w:ascii="Arial-BoldMT" w:hAnsi="Arial-BoldMT"/>
          <w:b/>
          <w:bCs/>
          <w:color w:val="000000"/>
          <w:sz w:val="23"/>
          <w:szCs w:val="23"/>
        </w:rPr>
        <w:t xml:space="preserve">разумное приспособление: </w:t>
      </w:r>
      <w:r>
        <w:rPr>
          <w:rFonts w:cs="ArialMT" w:ascii="ArialMT" w:hAnsi="ArialMT"/>
          <w:color w:val="000000"/>
          <w:sz w:val="23"/>
          <w:szCs w:val="23"/>
        </w:rPr>
        <w:t>"Внесение, когда это нужно в конкретном случае,</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необходимых и подходящих модификаций и коррективов, не становящихся несоразмерным или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неоправданным бременем, в целях обеспечения реализации или осуществления инвалидами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наравне с другими всех прав человека и основных свобод" (Конвенция ООН "О правах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инвалидов")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Б.38 </w:t>
      </w:r>
      <w:r>
        <w:rPr>
          <w:rFonts w:cs="Arial-BoldMT" w:ascii="Arial-BoldMT" w:hAnsi="Arial-BoldMT"/>
          <w:b/>
          <w:bCs/>
          <w:color w:val="000000"/>
          <w:sz w:val="23"/>
          <w:szCs w:val="23"/>
        </w:rPr>
        <w:t xml:space="preserve">система средств информации (информационные средства) </w:t>
      </w:r>
      <w:r>
        <w:rPr>
          <w:rFonts w:cs="ArialMT" w:ascii="ArialMT" w:hAnsi="ArialMT"/>
          <w:color w:val="000000"/>
          <w:sz w:val="23"/>
          <w:szCs w:val="23"/>
        </w:rPr>
        <w:t>(здесь): Совокупность</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носителей информации, обеспечивающих для МГН своевременное ориентирование в</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пространстве, способствующих безопасности и удобству передвижения, а также информирующих</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о свойствах среды жизнедеятельности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Б.39 </w:t>
      </w:r>
      <w:r>
        <w:rPr>
          <w:rFonts w:cs="Arial-BoldMT" w:ascii="Arial-BoldMT" w:hAnsi="Arial-BoldMT"/>
          <w:b/>
          <w:bCs/>
          <w:color w:val="000000"/>
          <w:sz w:val="23"/>
          <w:szCs w:val="23"/>
        </w:rPr>
        <w:t xml:space="preserve">специализированное учреждение: </w:t>
      </w:r>
      <w:r>
        <w:rPr>
          <w:rFonts w:cs="ArialMT" w:ascii="ArialMT" w:hAnsi="ArialMT"/>
          <w:color w:val="000000"/>
          <w:sz w:val="23"/>
          <w:szCs w:val="23"/>
        </w:rPr>
        <w:t>Учреждение социального и медицинского назначения</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для постоянного ухода и обслуживания МГН, в том числе -дом-интернат, хоспис, дом сестринского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ухода, реабилитационный центр, жилой дом для пожилых и т. д.</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Б.40 </w:t>
      </w:r>
      <w:r>
        <w:rPr>
          <w:rFonts w:cs="Arial-BoldMT" w:ascii="Arial-BoldMT" w:hAnsi="Arial-BoldMT"/>
          <w:b/>
          <w:bCs/>
          <w:color w:val="000000"/>
          <w:sz w:val="23"/>
          <w:szCs w:val="23"/>
        </w:rPr>
        <w:t xml:space="preserve">специализированный элемент </w:t>
      </w:r>
      <w:r>
        <w:rPr>
          <w:rFonts w:cs="ArialMT" w:ascii="ArialMT" w:hAnsi="ArialMT"/>
          <w:color w:val="000000"/>
          <w:sz w:val="23"/>
          <w:szCs w:val="23"/>
        </w:rPr>
        <w:t>(здесь): Элемент, к которому (как к объекту</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нормирования) предъявляются специфические требования по адаптации с учетом конкретного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или совокупных дефектов здоровья человека</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Б.41 </w:t>
      </w:r>
      <w:r>
        <w:rPr>
          <w:rFonts w:cs="Arial-BoldMT" w:ascii="Arial-BoldMT" w:hAnsi="Arial-BoldMT"/>
          <w:b/>
          <w:bCs/>
          <w:color w:val="000000"/>
          <w:sz w:val="23"/>
          <w:szCs w:val="23"/>
        </w:rPr>
        <w:t xml:space="preserve">сцена: </w:t>
      </w:r>
      <w:r>
        <w:rPr>
          <w:rFonts w:cs="ArialMT" w:ascii="ArialMT" w:hAnsi="ArialMT"/>
          <w:color w:val="000000"/>
          <w:sz w:val="23"/>
          <w:szCs w:val="23"/>
        </w:rPr>
        <w:t>Часть зрительного зала для проведения театральных мероприятий с колосниками и</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театральной механизацией планшета сцены</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 xml:space="preserve">Б.42 </w:t>
      </w:r>
      <w:r>
        <w:rPr>
          <w:rFonts w:cs="Arial-BoldMT" w:ascii="Arial-BoldMT" w:hAnsi="Arial-BoldMT"/>
          <w:b/>
          <w:bCs/>
          <w:color w:val="000000"/>
          <w:sz w:val="23"/>
          <w:szCs w:val="23"/>
        </w:rPr>
        <w:t xml:space="preserve">тактильные средства информации: </w:t>
      </w:r>
      <w:r>
        <w:rPr>
          <w:rFonts w:cs="ArialMT" w:ascii="ArialMT" w:hAnsi="ArialMT"/>
          <w:color w:val="000000"/>
          <w:sz w:val="23"/>
          <w:szCs w:val="23"/>
        </w:rPr>
        <w:t>Носители информации, передаваемой инвалидам по</w:t>
      </w:r>
    </w:p>
    <w:p>
      <w:pPr>
        <w:pStyle w:val="Normal"/>
        <w:spacing w:lineRule="auto" w:line="240" w:before="0" w:after="0"/>
        <w:rPr>
          <w:rFonts w:ascii="ArialMT" w:hAnsi="ArialMT" w:cs="ArialMT"/>
          <w:color w:val="000000"/>
          <w:sz w:val="23"/>
          <w:szCs w:val="23"/>
        </w:rPr>
      </w:pPr>
      <w:r>
        <w:rPr>
          <w:rFonts w:cs="ArialMT" w:ascii="ArialMT" w:hAnsi="ArialMT"/>
          <w:color w:val="000000"/>
          <w:sz w:val="23"/>
          <w:szCs w:val="23"/>
        </w:rPr>
        <w:t>зрению и воспринимаемой путем прикосновения</w:t>
      </w:r>
    </w:p>
    <w:p>
      <w:pPr>
        <w:pStyle w:val="Normal"/>
        <w:spacing w:lineRule="auto" w:line="240" w:before="0" w:after="0"/>
        <w:rPr>
          <w:rFonts w:ascii="Arial-BoldMT" w:hAnsi="Arial-BoldMT" w:cs="Arial-BoldMT"/>
          <w:b/>
          <w:b/>
          <w:bCs/>
          <w:color w:val="000000"/>
          <w:sz w:val="23"/>
          <w:szCs w:val="23"/>
        </w:rPr>
      </w:pPr>
      <w:r>
        <w:rPr>
          <w:rFonts w:cs="ArialMT" w:ascii="ArialMT" w:hAnsi="ArialMT"/>
          <w:color w:val="000000"/>
          <w:sz w:val="23"/>
          <w:szCs w:val="23"/>
        </w:rPr>
        <w:t xml:space="preserve">Б.43 </w:t>
      </w:r>
      <w:r>
        <w:rPr>
          <w:rFonts w:cs="Arial-BoldMT" w:ascii="Arial-BoldMT" w:hAnsi="Arial-BoldMT"/>
          <w:b/>
          <w:bCs/>
          <w:color w:val="000000"/>
          <w:sz w:val="23"/>
          <w:szCs w:val="23"/>
        </w:rPr>
        <w:t>тактильные наземные указатели: Средства отображения информации, представляющие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собой рельефную полосу определенного рисунка и цвета, позволяющие инвалидам по зрению</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ориентироваться в пространстве путем осязания стопами ног, тростью или используя остаточное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зрение. Разделяются по типам на дорожные и напольные, а также на предупреждающие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направляющие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Б.44 текстофон: Аппарат для передачи, приема и ведения диалога по телефону инвалидами 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нарушениями слуха в текстовом режиме. Аппарат снабжен клавиатурой и дисплеем для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отображения текстовой информации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Б.45 тифлотехнические средства: Средства, облегчающие инвалидам по зрению работу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усвоение информации (магнитофоны, диктофоны, письменные приборы, брайлевская пишущая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машинка)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Б.46 универсальная кабина уборной (здесь): Кабина уборной, предназначенная для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использования инвалидом на кресле-коляске или слепым с сопровождающим, оборудованная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унитазом, умывальником и другими принадлежностями. Вход в кабину не должен быть из других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уборных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Б.47 универсальный проект (дизайн): "Проект (дизайн) предметов, обстановок, программ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услуг, призванный сделать их в максимально возможной степени пригодными к пользованию для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всех людей без необходимости адаптации или специального дизайна. Универсальный дизайн не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исключает ассистивные (специализированные) устройства для конкретных групп инвалидов, где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это необходимо" (Конвенция ООН "О правах инвалидов")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Б.48 универсальный элемент (здесь): Элемент, проектируемый с учетом возможного</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использования всеми (любыми) категориями населения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Б.49 участок (здесь): Территория, функционально связанная со зданием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Б.50 шрифт Брайля: Специальный рельефный шрифт для лиц с полной потерей зрения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(незрячих) и слабовидящих. Здесь: Одно из основных средств адаптации среды для данной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категории маломобильных лиц</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Б.51 элемент: Составная часть чего-нибудь, здесь: Архитектурный, технический или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механический компонент здания, сооружения, помещения или участка, например - рабочее место,</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место отдыха, душ, телефонная кабина, дверь, управляющее устройство и т.п.</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Б.52 эстрада: Возвышение в торцевой части зрительного зала для проведения концертных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эстрадных представлений (без колосников).</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Приложение В (обязательное). Материалы к расчету</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уровня пожарной безопасности маломобильных групп</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населения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Приложение 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(обязательное)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 использовании Приложения 2 ГОСТ 12.1.004 (раздел 2 "Основные расчетные зависимости")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Для учета специфики передвижения МГН по путям эвакуации следует применять</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дополнительные расчетные значения параметров движения МГН (ГОСТ 12.1.004):</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В.1 По мобильным качествам людей в потоке эвакуирующихся из зданий и сооружений следует</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подразделять на четыре группы согласно таблице В.1: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Таблица В.1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Группа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мобильности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Общие характеристики людей групп мобильности Средняя площадь</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горизонтальной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проекции людей, , 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M1 Люди, не имеющие ограничений по мобильности, в том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числе с дефектами слуха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М2 Немощные люди, мобильность которых снижена из-за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старения организма (инвалиды по старости); инвалиды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на протезах; инвалиды с недостатками зрения,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пользующиеся белой тростью; люди с психическими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отклонениями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М3 Инвалиды, использующие при движении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дополнительные опоры (костыли, палки)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0,3</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М4 Инвалиды, передвигающиеся на креслах-колясках,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приводимых в движение вручную</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0,96</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В.2 Расчетные значения скорости и интенсивности движения потоков людей с различной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группой мобильности следует определять по формулам: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м/мин, при ; (B.1)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м/мин, (В.2)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где - коэффициент, отражающий степень влияния плотности людского потока на его скорость</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 движении по -му виду пути;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плотность людского потока на участке эвакуационного пути, м /м ;</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значение плотности людского потока на -м виде пути, при достижении которого</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плотность потока начинает оказывать влияние на скорость движения людей в потоке;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скорость и интенсивность движения людей в потоке по -му виду пути при плотности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потока ;</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скорость движения людей в потоке по -му виду пути при плотности потока ;</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среднее значение скорости свободного движения людей по -му виду пути при значениях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плотности потока .</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Значения , , для потоков людей различных групп мобильности для формул (В.1)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(В.2) приведены в таблице В.2.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Таблица В.2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Группы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мобильности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Значения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параметров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Величина параметров по видам пути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горизонтальный лестница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вниз</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лестница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вверх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пандус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вниз</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пандус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вверх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M1 100 100 60 115 80</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0,051 0,089 0,067 0,171 0,107</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0,295 0,400 0,305 0,399 0,399</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М2 30 30 20 45 25</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0,135 0,139 0,126 0,171 0,146</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0,335 0,346 0,348 0,438 0,384</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М3 70 20 25 105 55</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0,102 0,208 0,120 0,122 0,136</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0,350 0,454 0,347 0,416 0,446</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М4 60 115 40</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0,135 0,146 0,150</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0,400 0,424 0,420</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В.3 При движении людских потоков с участием МГН на участках пути перед проемами не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следует допускать образования плотности потоков выше 0,5. При этом расчетные максимальные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значения интенсивности движения через проем различных групп мобильности следует</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принимать равными: M1 - 19,6 м/мин, М2 - 9,7 м/мин, М3 - 17,6 м/мин, М4 - 16,4 м/мин.</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Приложение Г (обязательное). Расчет числа лифтов,</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необходимых для эвакуации инвалидов из зон</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безопасности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Приложение Г</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(обязательное)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Г.1 Расчет числа лифтов для МГН пожаробезопасной зоны, приведенный в настоящем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приложении, предназначен для определения с учетом технических паспортных параметров числа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лифтов, позволяющего обеспечить требуемую провозную способность для спасения МГН 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условиях пожарной опасности.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Г.2 Исходными данными для расчета являются: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число обслуживаемых лифтом этажей с пожаробезопасными зонами;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высота подъема лифта до уровней расположения пожаробезопасных зон;</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расчетное количество, состав МГН в пожаробезопасных зонах на этажах;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номинальная вместимость (грузоподъемность и скорость лифтов).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Г.3 Основные понятия, применяемые при расчете числа лифтов: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круговой рейс - движение лифта от основного посадочного этажа до возвращения на этот этаж;</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время кругового рейса - время, затрачиваемое лифтом на совершение кругового рейса,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включающее в себя затраты времени на разгон и торможение, движение на номинальной скорости,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открывание и закрывание дверей, вход и выход пассажиров из числа МГН.</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Г.4 Вместимость лифта определяют исходя из номинальной грузоподъемности лифта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внутренних геометрических размеров кабины с учетом веса МГН со средствами передвижения и 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учетом формы, площади проекций МГН в плане.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Г.5 Число посадочных остановок лифта в зоне безопасности для каждого этажа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определяют исходя из расчетной численности людей из числа МГН в пожаробезопасных зонах 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вместимости лифта.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Г.6 Время кругового рейса для каждой посадки вычисляют по формуле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(Г.1)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где - путь, который проходит лифт при совершении кругового рейса на номинальной скорости,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м;</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номинальная скорость движения кабины лифта, м/с;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сумма затрат времени на ускорение и замедление лифта, открывание и закрывание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дверей, вход и выход пассажиров в течение кругового рейса, 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 коэффициент, учитывающий возможные дополнительные затраты времени при работе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лифта (задержка при входе/выходе пассажиров, регулирование скорости движения дверей и т.п.).</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Допускается принимать 1,1-1,2.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Исходные данные для проведения расчетов затрат времени могут быть взяты из технических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паспортов на лифты. Для пассажиров группы М4 (на креслах-колясках) время на вход/выход</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приведены в таблице Г.1.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Таблица Г.1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Пассажиры группы М4 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кабине лифта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Время на вход/выход пассажиров (заполнение/освобождение</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лифтовой кабины), с</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на вход на выход</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Один 6 5,5</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Два 8 7,5</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Три 10 9</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Четыре 12 11</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Г.7 Общее время рейсов лифта определяется суммой времени всех круговых рейсов</w:t>
      </w:r>
    </w:p>
    <w:p>
      <w:pPr>
        <w:pStyle w:val="Normal"/>
        <w:spacing w:lineRule="auto" w:line="240" w:before="0" w:after="0"/>
        <w:rPr>
          <w:rFonts w:ascii="Arial-BoldMT" w:hAnsi="Arial-BoldMT" w:cs="Arial-BoldMT"/>
          <w:b/>
          <w:b/>
          <w:bCs/>
          <w:color w:val="000000"/>
          <w:sz w:val="23"/>
          <w:szCs w:val="23"/>
        </w:rPr>
      </w:pPr>
      <w:r>
        <w:rPr>
          <w:rFonts w:cs="Arial-ItalicMT" w:ascii="Arial-ItalicMT" w:hAnsi="Arial-ItalicMT"/>
          <w:b/>
          <w:bCs/>
          <w:i/>
          <w:iCs/>
          <w:color w:val="000000"/>
          <w:sz w:val="23"/>
          <w:szCs w:val="23"/>
        </w:rPr>
        <w:t xml:space="preserve">. </w:t>
      </w:r>
      <w:r>
        <w:rPr>
          <w:rFonts w:cs="Arial-BoldMT" w:ascii="Arial-BoldMT" w:hAnsi="Arial-BoldMT"/>
          <w:b/>
          <w:bCs/>
          <w:color w:val="000000"/>
          <w:sz w:val="23"/>
          <w:szCs w:val="23"/>
        </w:rPr>
        <w:t>(Г.2)</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Г.8 Число лифтов, обеспечивающих необходимый провоз МГН из пожаробезопасных зон на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основной этаж , вычисляют по формуле</w:t>
      </w:r>
    </w:p>
    <w:p>
      <w:pPr>
        <w:pStyle w:val="Normal"/>
        <w:spacing w:lineRule="auto" w:line="240" w:before="0" w:after="0"/>
        <w:rPr>
          <w:rFonts w:ascii="Arial-BoldMT" w:hAnsi="Arial-BoldMT" w:cs="Arial-BoldMT"/>
          <w:b/>
          <w:b/>
          <w:bCs/>
          <w:color w:val="000000"/>
          <w:sz w:val="23"/>
          <w:szCs w:val="23"/>
        </w:rPr>
      </w:pPr>
      <w:r>
        <w:rPr>
          <w:rFonts w:cs="Arial-ItalicMT" w:ascii="Arial-ItalicMT" w:hAnsi="Arial-ItalicMT"/>
          <w:b/>
          <w:bCs/>
          <w:i/>
          <w:iCs/>
          <w:color w:val="000000"/>
          <w:sz w:val="23"/>
          <w:szCs w:val="23"/>
        </w:rPr>
        <w:t xml:space="preserve">. </w:t>
      </w:r>
      <w:r>
        <w:rPr>
          <w:rFonts w:cs="Arial-BoldMT" w:ascii="Arial-BoldMT" w:hAnsi="Arial-BoldMT"/>
          <w:b/>
          <w:bCs/>
          <w:color w:val="000000"/>
          <w:sz w:val="23"/>
          <w:szCs w:val="23"/>
        </w:rPr>
        <w:t>(Г.3)</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Результат расчета по формуле (Г.3) округляют до большего ближайшего целого значения.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Г.9 При установке группы лифтов с различной грузоподъемностью и скоростью проводится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расчет по каждому лифту. Расчетное время работы каждого лифта для спасения МГН не должно</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превышать 10 мин.</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Приложение Д (рекомендуемое). Примеры</w:t>
      </w:r>
    </w:p>
    <w:p>
      <w:pPr>
        <w:pStyle w:val="Normal"/>
        <w:spacing w:lineRule="auto" w:line="240" w:before="0" w:after="0"/>
        <w:rPr>
          <w:rFonts w:ascii="Arial-BoldMT" w:hAnsi="Arial-BoldMT" w:cs="Arial-BoldMT"/>
          <w:b/>
          <w:b/>
          <w:bCs/>
          <w:color w:val="000000"/>
          <w:sz w:val="37"/>
          <w:szCs w:val="37"/>
        </w:rPr>
      </w:pPr>
      <w:r>
        <w:rPr>
          <w:rFonts w:cs="Arial-BoldMT" w:ascii="Arial-BoldMT" w:hAnsi="Arial-BoldMT"/>
          <w:b/>
          <w:bCs/>
          <w:color w:val="000000"/>
          <w:sz w:val="37"/>
          <w:szCs w:val="37"/>
        </w:rPr>
        <w:t>обустройства зданий, сооружений и их помещений</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Приложение Д</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(рекомендуемое)</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Д.1 - Кресло-коляска для взрослых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Д.1 - Кресло-коляска для взрослых</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Примечание - Все размеры в приложении Д указаны в мм.</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Д.2 - Зоны досягаемости и эргономические параметры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Д.2 - Зоны досягаемости и эргономические параметры</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Д.3 - Оптимальные габариты полосы движения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Д.3 - Оптимальные габариты полосы движения</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Д.4 - Оптимальные габариты полосы движения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Д.4 - Оптимальные габариты полосы движения</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Д.5 - Пути движения у здания</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Д.5 - Пути движения у здания</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Д.6 - Автостоянки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Д.6 - Автостоянки</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Д.7 - Автостоянки</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Д.7 - Автостоянки</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Д.8 - Минимальные параметры коридоров</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Д.8 - Минимальные параметры коридоров</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Д.9 - Пандусы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Д.9 - Пандусы</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Д.10 - Входные тамбуры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Д.10 - Входные тамбуры</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Д.11 - Кабины общественного туалета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Д.11 - Кабины общественного туалета</w:t>
      </w:r>
    </w:p>
    <w:p>
      <w:pPr>
        <w:pStyle w:val="Normal"/>
        <w:spacing w:lineRule="auto" w:line="240" w:before="0" w:after="0"/>
        <w:rPr>
          <w:rFonts w:ascii="Arial-BoldMT" w:hAnsi="Arial-BoldMT" w:cs="Arial-BoldMT"/>
          <w:b/>
          <w:b/>
          <w:bCs/>
          <w:color w:val="FFFFFF"/>
          <w:sz w:val="25"/>
          <w:szCs w:val="25"/>
        </w:rPr>
      </w:pPr>
      <w:r>
        <w:rPr>
          <w:rFonts w:cs="Arial-BoldMT" w:ascii="Arial-BoldMT" w:hAnsi="Arial-BoldMT"/>
          <w:b/>
          <w:bCs/>
          <w:color w:val="FFFFFF"/>
          <w:sz w:val="25"/>
          <w:szCs w:val="25"/>
        </w:rPr>
        <w:t>якорь</w:t>
      </w:r>
    </w:p>
    <w:p>
      <w:pPr>
        <w:pStyle w:val="Normal"/>
        <w:spacing w:lineRule="auto" w:line="240" w:before="0" w:after="0"/>
        <w:rPr>
          <w:rFonts w:ascii="Arial-BoldMT" w:hAnsi="Arial-BoldMT" w:cs="Arial-BoldMT"/>
          <w:b/>
          <w:b/>
          <w:bCs/>
          <w:color w:val="000000"/>
          <w:sz w:val="25"/>
          <w:szCs w:val="25"/>
        </w:rPr>
      </w:pPr>
      <w:r>
        <w:rPr>
          <w:rFonts w:cs="Arial-BoldMT" w:ascii="Arial-BoldMT" w:hAnsi="Arial-BoldMT"/>
          <w:b/>
          <w:bCs/>
          <w:color w:val="000000"/>
          <w:sz w:val="25"/>
          <w:szCs w:val="25"/>
        </w:rPr>
        <w:t>Рисунок Д.12 - Кассы, телефоны-автоматы, платежные терминалы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Рисунок Д.12 - Кассы, телефоны-автоматы, платежные терминалы</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Электронный текст документа</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подготовлен ЗАО "Кодекс" и сверен по:</w:t>
      </w:r>
    </w:p>
    <w:p>
      <w:pPr>
        <w:pStyle w:val="Normal"/>
        <w:spacing w:lineRule="auto" w:line="240" w:before="0" w:after="0"/>
        <w:rPr>
          <w:rFonts w:ascii="Arial-BoldMT" w:hAnsi="Arial-BoldMT" w:cs="Arial-BoldMT"/>
          <w:b/>
          <w:b/>
          <w:bCs/>
          <w:color w:val="000000"/>
          <w:sz w:val="23"/>
          <w:szCs w:val="23"/>
        </w:rPr>
      </w:pPr>
      <w:r>
        <w:rPr>
          <w:rFonts w:cs="Arial-BoldMT" w:ascii="Arial-BoldMT" w:hAnsi="Arial-BoldMT"/>
          <w:b/>
          <w:bCs/>
          <w:color w:val="000000"/>
          <w:sz w:val="23"/>
          <w:szCs w:val="23"/>
        </w:rPr>
        <w:t>официальное издание</w:t>
      </w:r>
    </w:p>
    <w:p>
      <w:pPr>
        <w:pStyle w:val="Normal"/>
        <w:spacing w:before="0" w:after="0"/>
        <w:rPr/>
      </w:pPr>
      <w:r>
        <w:rPr>
          <w:rFonts w:cs="Arial-BoldMT" w:ascii="Arial-BoldMT" w:hAnsi="Arial-BoldMT"/>
          <w:b/>
          <w:bCs/>
          <w:color w:val="000000"/>
          <w:sz w:val="23"/>
          <w:szCs w:val="23"/>
        </w:rPr>
        <w:t>М.: Минрегион России, 2012__</w:t>
      </w:r>
    </w:p>
    <w:sectPr>
      <w:type w:val="nextPage"/>
      <w:pgSz w:w="11906" w:h="16838"/>
      <w:pgMar w:left="1701" w:right="850" w:header="0" w:top="851"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MT">
    <w:charset w:val="cc"/>
    <w:family w:val="roman"/>
    <w:pitch w:val="variable"/>
  </w:font>
  <w:font w:name="Arial-BoldMT">
    <w:charset w:val="cc"/>
    <w:family w:val="roman"/>
    <w:pitch w:val="variable"/>
  </w:font>
  <w:font w:name="Arial-ItalicM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16a6"/>
    <w:pPr>
      <w:widowControl/>
      <w:bidi w:val="0"/>
      <w:spacing w:lineRule="auto" w:line="276" w:before="0" w:after="200"/>
      <w:jc w:val="left"/>
    </w:pPr>
    <w:rPr>
      <w:rFonts w:ascii="Times New Roman" w:hAnsi="Times New Roman" w:eastAsia="Calibri" w:cs="Times New Roman"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7f532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7f532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Application>LibreOffice/6.2.4.2$Windows_x86 LibreOffice_project/2412653d852ce75f65fbfa83fb7e7b669a126d64</Application>
  <Pages>64</Pages>
  <Words>16667</Words>
  <Characters>110058</Characters>
  <CharactersWithSpaces>125211</CharactersWithSpaces>
  <Paragraphs>1518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2014-11-07T10:51:00Z</dcterms:created>
  <dc:creator>Ганичева Елена Вениаминовна</dc:creator>
  <dc:description/>
  <dc:language>ru-RU</dc:language>
  <cp:lastModifiedBy>Офицерова Галина Юрьевна</cp:lastModifiedBy>
  <cp:lastPrinted>2014-11-07T11:02:00Z</cp:lastPrinted>
  <dcterms:modified xsi:type="dcterms:W3CDTF">2015-12-24T10:09:00Z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